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532"/>
        <w:gridCol w:w="5286"/>
      </w:tblGrid>
      <w:tr w:rsidR="004C31AB" w:rsidRPr="004C31AB" w:rsidTr="004C31AB">
        <w:trPr>
          <w:trHeight w:val="381"/>
          <w:jc w:val="center"/>
        </w:trPr>
        <w:tc>
          <w:tcPr>
            <w:tcW w:w="3532" w:type="dxa"/>
            <w:tcMar>
              <w:top w:w="0" w:type="dxa"/>
              <w:left w:w="108" w:type="dxa"/>
              <w:bottom w:w="0" w:type="dxa"/>
              <w:right w:w="108" w:type="dxa"/>
            </w:tcMar>
            <w:hideMark/>
          </w:tcPr>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b/>
                <w:bCs/>
                <w:szCs w:val="24"/>
                <w:lang w:eastAsia="vi-VN"/>
              </w:rPr>
              <w:t xml:space="preserve">CHÍNH PHỦ </w:t>
            </w:r>
            <w:r w:rsidRPr="004C31AB">
              <w:rPr>
                <w:rFonts w:eastAsia="Times New Roman" w:cs="Times New Roman"/>
                <w:b/>
                <w:bCs/>
                <w:szCs w:val="24"/>
                <w:lang w:eastAsia="vi-VN"/>
              </w:rPr>
              <w:br/>
              <w:t>-------</w:t>
            </w:r>
          </w:p>
        </w:tc>
        <w:tc>
          <w:tcPr>
            <w:tcW w:w="5286" w:type="dxa"/>
            <w:tcMar>
              <w:top w:w="0" w:type="dxa"/>
              <w:left w:w="108" w:type="dxa"/>
              <w:bottom w:w="0" w:type="dxa"/>
              <w:right w:w="108" w:type="dxa"/>
            </w:tcMar>
            <w:hideMark/>
          </w:tcPr>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4C31AB">
                  <w:rPr>
                    <w:rFonts w:eastAsia="Times New Roman" w:cs="Times New Roman"/>
                    <w:b/>
                    <w:bCs/>
                    <w:szCs w:val="24"/>
                    <w:lang w:eastAsia="vi-VN"/>
                  </w:rPr>
                  <w:t>NAM</w:t>
                </w:r>
              </w:smartTag>
            </w:smartTag>
            <w:r w:rsidRPr="004C31AB">
              <w:rPr>
                <w:rFonts w:eastAsia="Times New Roman" w:cs="Times New Roman"/>
                <w:b/>
                <w:bCs/>
                <w:szCs w:val="24"/>
                <w:lang w:eastAsia="vi-VN"/>
              </w:rPr>
              <w:br/>
              <w:t>Độc lập – Tự do – Hạnh phúc</w:t>
            </w:r>
            <w:r w:rsidRPr="004C31AB">
              <w:rPr>
                <w:rFonts w:eastAsia="Times New Roman" w:cs="Times New Roman"/>
                <w:b/>
                <w:bCs/>
                <w:szCs w:val="24"/>
                <w:lang w:eastAsia="vi-VN"/>
              </w:rPr>
              <w:br/>
              <w:t>--------------</w:t>
            </w:r>
          </w:p>
        </w:tc>
      </w:tr>
      <w:tr w:rsidR="004C31AB" w:rsidRPr="004C31AB" w:rsidTr="004C31AB">
        <w:trPr>
          <w:trHeight w:val="165"/>
          <w:jc w:val="center"/>
        </w:trPr>
        <w:tc>
          <w:tcPr>
            <w:tcW w:w="3532" w:type="dxa"/>
            <w:tcMar>
              <w:top w:w="0" w:type="dxa"/>
              <w:left w:w="108" w:type="dxa"/>
              <w:bottom w:w="0" w:type="dxa"/>
              <w:right w:w="108" w:type="dxa"/>
            </w:tcMar>
            <w:hideMark/>
          </w:tcPr>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szCs w:val="24"/>
                <w:lang w:eastAsia="vi-VN"/>
              </w:rPr>
              <w:t>Số: 109/2013/NĐ-CP</w:t>
            </w:r>
          </w:p>
        </w:tc>
        <w:tc>
          <w:tcPr>
            <w:tcW w:w="5286" w:type="dxa"/>
            <w:tcMar>
              <w:top w:w="0" w:type="dxa"/>
              <w:left w:w="108" w:type="dxa"/>
              <w:bottom w:w="0" w:type="dxa"/>
              <w:right w:w="108" w:type="dxa"/>
            </w:tcMar>
            <w:hideMark/>
          </w:tcPr>
          <w:p w:rsidR="004C31AB" w:rsidRPr="004C31AB" w:rsidRDefault="004C31AB" w:rsidP="004C31AB">
            <w:pPr>
              <w:spacing w:before="120" w:after="100" w:afterAutospacing="1" w:line="240" w:lineRule="auto"/>
              <w:jc w:val="right"/>
              <w:rPr>
                <w:rFonts w:eastAsia="Times New Roman" w:cs="Times New Roman"/>
                <w:szCs w:val="24"/>
                <w:lang w:eastAsia="vi-VN"/>
              </w:rPr>
            </w:pPr>
            <w:r w:rsidRPr="004C31AB">
              <w:rPr>
                <w:rFonts w:eastAsia="Times New Roman" w:cs="Times New Roman"/>
                <w:i/>
                <w:iCs/>
                <w:szCs w:val="24"/>
                <w:lang w:eastAsia="vi-VN"/>
              </w:rPr>
              <w:t>Hà Nội, ngày 24 tháng 09 năm 2013</w:t>
            </w:r>
          </w:p>
        </w:tc>
      </w:tr>
    </w:tbl>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b/>
          <w:bCs/>
          <w:szCs w:val="24"/>
          <w:lang w:eastAsia="vi-VN"/>
        </w:rPr>
        <w:t> </w:t>
      </w:r>
    </w:p>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b/>
          <w:bCs/>
          <w:szCs w:val="24"/>
          <w:lang w:eastAsia="vi-VN"/>
        </w:rPr>
        <w:t>NGHỊ ĐỊNH</w:t>
      </w:r>
    </w:p>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szCs w:val="24"/>
          <w:lang w:eastAsia="vi-VN"/>
        </w:rPr>
        <w:t>QUY ĐỊNH XỬ PHẠT VI PHẠM HÀNH CHÍNH TRONG LĨNH VỰC QUẢN LÝ GIÁ, PHÍ, LỆ PHÍ,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Căn cứ Luật tổ chức Chính phủ ngày 25 tháng 12 năm 2001;</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Căn cứ Luật xử lý vi phạm hành chính ngày 20 tháng 6 năm 2012;</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Căn cứ Luật quản lý thuế ngày 29 tháng 11 năm 2006 và Luật sửa đổi, bổ sung một số điều của Luật quản lý thuế ngày 20 tháng 11 năm 2012;</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Căn cứ Luật giá ngày 20 tháng 6 năm 2012;</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Căn cứ Pháp lệnh phí và lệ phí ngày 28 tháng 8 năm 2001;</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Theo đề nghị của Bộ trưởng Bộ Tài chính;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i/>
          <w:iCs/>
          <w:szCs w:val="24"/>
          <w:lang w:eastAsia="vi-VN"/>
        </w:rPr>
        <w:t>Chính phủ ban hành Nghị định quy định xử phạt vi phạm hành chính trong lĩnh vực quản lý giá, phí, lệ phí,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0" w:name="chuong_1"/>
      <w:r w:rsidRPr="004C31AB">
        <w:rPr>
          <w:rFonts w:eastAsia="Times New Roman" w:cs="Times New Roman"/>
          <w:b/>
          <w:bCs/>
          <w:szCs w:val="24"/>
          <w:lang w:eastAsia="vi-VN"/>
        </w:rPr>
        <w:t>Chương 1.</w:t>
      </w:r>
      <w:bookmarkEnd w:id="0"/>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 w:name="chuong_1_name"/>
      <w:r w:rsidRPr="004C31AB">
        <w:rPr>
          <w:rFonts w:eastAsia="Times New Roman" w:cs="Times New Roman"/>
          <w:b/>
          <w:bCs/>
          <w:szCs w:val="24"/>
          <w:lang w:eastAsia="vi-VN"/>
        </w:rPr>
        <w:t>NHỮNG QUY ĐỊNH CHUNG</w:t>
      </w:r>
      <w:bookmarkEnd w:id="1"/>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 w:name="dieu_1"/>
      <w:r w:rsidRPr="004C31AB">
        <w:rPr>
          <w:rFonts w:eastAsia="Times New Roman" w:cs="Times New Roman"/>
          <w:b/>
          <w:bCs/>
          <w:szCs w:val="24"/>
          <w:lang w:eastAsia="vi-VN"/>
        </w:rPr>
        <w:t>Điều 1. Phạm vi điều chỉnh</w:t>
      </w:r>
      <w:bookmarkEnd w:id="2"/>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Nghị định này quy định về các hành vi vi phạm hành chính; hình thức xử phạt, mức phạt tiền, biện pháp khắc phục hậu quả đối với từng hành vi vi phạm hành chính; thẩm quyền xử phạt vi phạm hành chính trong lĩnh vực quản lý nhà nước về giá, phí, lệ phí,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Các hành vi vi phạm hành chính liên quan đến quản lý nhà nước về giá, phí, lệ phí, hóa đơn được quy định tại các Nghị định khác của Chính phủ thì áp dụng quy định tại các Nghị định đó để xử phạt.</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 w:name="dieu_2"/>
      <w:r w:rsidRPr="004C31AB">
        <w:rPr>
          <w:rFonts w:eastAsia="Times New Roman" w:cs="Times New Roman"/>
          <w:b/>
          <w:bCs/>
          <w:szCs w:val="24"/>
          <w:lang w:eastAsia="vi-VN"/>
        </w:rPr>
        <w:t>Điều 2. Đối tượng áp dụng</w:t>
      </w:r>
      <w:bookmarkEnd w:id="3"/>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Nghị định này áp dụng đối với các đối tượng sau đây: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Tổ chức, cá nhân có hành vi vi phạm hành chính trong lĩnh vực quản lý giá, phí, lệ phí,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2. Tổ chức, cá nhân có thẩm quyền xử phạt vi phạm hành chính theo quy định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Các đối tượng khác có liên quan đến xử phạt vi phạm hành chính theo quy định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 w:name="dieu_3"/>
      <w:r w:rsidRPr="004C31AB">
        <w:rPr>
          <w:rFonts w:eastAsia="Times New Roman" w:cs="Times New Roman"/>
          <w:b/>
          <w:bCs/>
          <w:szCs w:val="24"/>
          <w:lang w:eastAsia="vi-VN"/>
        </w:rPr>
        <w:t>Điều 3. Hình thức xử phạt và nguyên tắc áp dụng</w:t>
      </w:r>
      <w:bookmarkEnd w:id="4"/>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Các hình thức xử phạt vi phạm hành chính và biện pháp khắc phục hậu quả trong lĩnh vực quản lý giá, phí, lệ phí, hóa đơn bao gồm:</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 áp dụng đối với hành vi vi phạm không gây hậu quả nghiêm trọng hoặc hành vi vi phạm lần đầu;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mức phạt tiền tối đa đối với cá nhân thực hiện hành vi vi phạm trong lĩnh vực quản lý giá là 150.000.000 đồng; trong lĩnh vực quản lý phí, lệ phí, hóa đơn là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Tước Giấy chứng nhận đủ điều kiện kinh doanh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Tước Thẻ thẩm định viên về giá; đình chỉ hoạt động kinh doanh dịch vụ thẩm định giá; đình chỉ hoạt động đào tạo, cấp chứng chỉ bồi dưỡng nghiệp vụ thẩm định giá; đình chỉ quyền tự in hóa đơn, quyền khởi tạo hóa đơn điện tử; đình chỉ in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đ) Buộc nộp vào Quỹ bình ổn giá số tiền do sử dụng không đúng Quỹ bình ổn giá; nộp ngân sách nhà nước số tiền có được do hành vi vi phạm; trả lại khách hàng số tiền chênh lệch do bán cao hơn mức giá quy định và mọi chi phí phát sinh do hành vi vi phạm gây ra; dừng thực hiện mức giá bán hàng hóa, dịch vụ do tổ chức, cá nhân quy định; cải chính thông tin sai lệch; tiêu hủy hoặc tịch thu tiêu hủy ấn phẩm có nội dung thông tin sai phạm; hủy kết quả thẩm định giá; hủy chứng chỉ bồi dưỡng nghiệp vụ thẩm định giá; hoàn trả tiền phí, lệ phí cho người nộp; hủy các hóa đơn; thực hiện thủ tục phát hành hóa đơn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Hình thức xử phạt quy định tại Điểm a và Điểm b Khoản 1 Điều này được áp dụng là hình thức xử phạt chính.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Hình thức xử phạt quy định tại Điểm c và Điểm d Khoản 1 Điều này được áp dụng là hình thức xử phạt bổ sung.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Các biện pháp quy định tại Điểm đ Khoản 1 Điều này được áp dụng là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Đối với cùng một hành vi vi phạm hành chính thì mức phạt tiền đối với tổ chức bằng 02 lần mức phạt tiền đối với cá nhân.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Mức phạt tiền quy định từ Điều 5 đến Điều 17, Điều 20, từ Điều 22 đến Điều 32 Nghị định này là mức phạt áp dụng đối với cá nhân.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Mức phạt tiền đối với hành vi vi phạm từ Điều 33 đến Điều 40 Nghị định này là mức phạt áp dụng đối với tổ chức.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c) Mức phạt tiền đối với các hành vi vi phạm khác được quy định trong từng điều, khoản cụ thể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Khi phạt tiền đối với các hành vi vi phạm quy định về giá, phí, lệ phí, hóa đơn, mức phạt cụ thể đối với một hành vi không có tình tiết tăng nặng hoặc giảm nhẹ là mức trung bình của khung tiền phạt quy định đối với hành vi đó. Mức trung bình của khung tiền phạt được xác định bằng cách chia đôi tổng số của mức tối thiểu cộng mức tối đa.</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Trường hợp có một tình tiết tăng nặng hoặc giảm nhẹ thì áp dụng mức trung bình tăng thêm hoặc mức trung bình giảm bớt. Mức trung bình tăng thêm được xác định bằng cách chia đôi tổng số của mức tối đa và mức trung bình. Mức trung bình giảm bớt được xác định bằng cách chia đôi tổng số của mức tối thiểu và mức trung bình.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Trường hợp có từ hai tình tiết tăng nặng thì áp dụng mức tối đa của khung phạt tiền. Trường hợp có từ hai tình tiết giảm nhẹ thì áp dụng mức tối thiểu của khung tiền phạt.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Trường hợp vừa có tình tiết tăng nặng và tình tiết giảm nhẹ thì bù trừ theo nguyên tắc một tình tiết tăng nặng trừ cho một tình tiết giảm nhẹ.</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5" w:name="dieu_4"/>
      <w:r w:rsidRPr="004C31AB">
        <w:rPr>
          <w:rFonts w:eastAsia="Times New Roman" w:cs="Times New Roman"/>
          <w:b/>
          <w:bCs/>
          <w:szCs w:val="24"/>
          <w:lang w:eastAsia="vi-VN"/>
        </w:rPr>
        <w:t>Điều 4. Thời hiệu xử phạt</w:t>
      </w:r>
      <w:bookmarkEnd w:id="5"/>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Thời hiệu xử phạt vi phạm hành chính trong lĩnh vực hóa đơn là 01 năm; trong lĩnh vực giá, phí, lệ phí là 02 năm.</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Đối với hành vi vi phạm hành chính về hóa đơn dẫn đến trốn thuế, gian lận thuế, nộp chậm tiền thuế, khai thiếu nghĩa vụ thuế thì thời hiệu xử phạt vi phạm hành chính theo quy định của pháp luật về thuế.</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6" w:name="chuong_2"/>
      <w:r w:rsidRPr="004C31AB">
        <w:rPr>
          <w:rFonts w:eastAsia="Times New Roman" w:cs="Times New Roman"/>
          <w:b/>
          <w:bCs/>
          <w:szCs w:val="24"/>
          <w:lang w:eastAsia="vi-VN"/>
        </w:rPr>
        <w:t>Chương 2.</w:t>
      </w:r>
      <w:bookmarkEnd w:id="6"/>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7" w:name="chuong_2_name"/>
      <w:r w:rsidRPr="004C31AB">
        <w:rPr>
          <w:rFonts w:eastAsia="Times New Roman" w:cs="Times New Roman"/>
          <w:b/>
          <w:bCs/>
          <w:szCs w:val="24"/>
          <w:lang w:eastAsia="vi-VN"/>
        </w:rPr>
        <w:t>HÀNH VI VI PHẠM HÀNH CHÍNH, HÌNH THỨC XỬ PHẠT, BIỆN PHÁP KHẮC PHỤC HẬU QUẢ TRONG LĨNH VỰC QUẢN LÝ GIÁ</w:t>
      </w:r>
      <w:bookmarkEnd w:id="7"/>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8" w:name="dieu_5"/>
      <w:r w:rsidRPr="004C31AB">
        <w:rPr>
          <w:rFonts w:eastAsia="Times New Roman" w:cs="Times New Roman"/>
          <w:b/>
          <w:bCs/>
          <w:szCs w:val="24"/>
          <w:lang w:eastAsia="vi-VN"/>
        </w:rPr>
        <w:t>Điều 5. Hành vi vi phạm quy định về bình ổn giá</w:t>
      </w:r>
      <w:bookmarkEnd w:id="8"/>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cảnh cáo đối với hành vi chậm báo cáo trong thời hạn dưới 05 ngày làm việc so với yêu cầu của cơ quan nhà nước có thẩm quyền để phục vụ công tác bình ổn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1.000.000 đồng đến 5.000.000 đồng đối với hành vi chậm báo cáo quy định tại khoản 1 Điều này trong thời hạn từ 05 ngày làm việc đến 10 ngày làm việc.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5.000.000 đồng đến 10.000.000 đồng đối với hành vi chậm báo cáo quy định tại Khoản 1 Điều này quá 10 ngày làm việc.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10.000.000 đồng đến 20.000.000 đồng đối với hành vi thực hiện không đúng một trong những biện pháp bình ổn giá do cơ quan có thẩm quyền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20.000.000 đồng đến 30.000.000 đồng đối với hành vi không thực hiện một trong những biện pháp bình ổn giá do cơ quan có thẩm quyền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6. Phạt tiền từ 30.000.000 đồng đến 40.000.000 đồng đối với hành vi trích lập không đúng hoặc sử dụng Quỹ bình ổn giá không đúng quy định của pháp luật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Phạt tiền từ 40.000.000 đồng đến 60.000.000 đồng đối với hành vi không trích lập Quỹ bình ổn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8.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Buộc nộp vào Quỹ bình ổn giá toàn bộ số tiền do sử dụng không đúng Quỹ bình ổn giá theo quy định tại Khoản 6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Buộc nộp vào Quỹ bình ổn giá toàn bộ số tiền do trích lập không đúng hoặc không trích lập Quỹ bình ổn giá theo quy định tại Khoản 6 và Khoản 7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9" w:name="dieu_6"/>
      <w:r w:rsidRPr="004C31AB">
        <w:rPr>
          <w:rFonts w:eastAsia="Times New Roman" w:cs="Times New Roman"/>
          <w:b/>
          <w:bCs/>
          <w:szCs w:val="24"/>
          <w:lang w:eastAsia="vi-VN"/>
        </w:rPr>
        <w:t>Điều 6. Hành vi vi phạm chính sách trợ giá, trợ cước</w:t>
      </w:r>
      <w:bookmarkEnd w:id="9"/>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20.000.000 đồng đến 30.000.000 đồng đối với hành vi khai man, khai khống hồ sơ thanh toán để nhận tiền trợ giá, trợ cước vận chuyển hàng hóa và các khoản tiền hỗ trợ để thực hiện chính sách trợ giá, trợ cước; hành vi sử dụng không đúng mục đích, không đúng đối tượng được sử dụng tiền trợ giá, tiền trợ cước vận chuyển hàng hóa và các khoản tiền hỗ trợ để thực hiện chính sách trợ giá, trợ cước.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Buộc nộp vào ngân sách nhà nước toàn bộ số tiền có được do khai man, khai khống hồ sơ thanh toán tiền trợ giá, trợ cước vận chuyển hàng hóa, thực hiện chính sách trợ giá, trợ cước;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Buộc nộp vào ngân sách nhà nước toàn bộ số tiền do không sử dụng đúng mục đích, đối tượng được sử dụng tiền trợ giá, trợ cước vận chuyển hàng hóa và các khoản tiền hỗ trợ để thực hiện chính sách trợ giá, trợ cước.</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0" w:name="dieu_7"/>
      <w:r w:rsidRPr="004C31AB">
        <w:rPr>
          <w:rFonts w:eastAsia="Times New Roman" w:cs="Times New Roman"/>
          <w:b/>
          <w:bCs/>
          <w:szCs w:val="24"/>
          <w:lang w:eastAsia="vi-VN"/>
        </w:rPr>
        <w:t>Điều 7. Hành vi vi phạm quy định về hiệp thương giá</w:t>
      </w:r>
      <w:bookmarkEnd w:id="10"/>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20.000.000 đồng đến 30.000.000 đồng đối với hành vi vi phạm quy định về giá tạm thời trong hiệp thương giá đã được cơ quan tổ chức hiệp thương giá quyết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Từ chối mua, bán hàng hóa, dịch vụ theo giá tạm thời trong hiệp thương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Đã thống nhất được giá và thực hiện theo giá thống nhất nhưng không báo cáo với cơ quan tổ chức hiệp thương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30.000.000 đồng đến 50.000.000 đồng đối với hành vi không thực hiện hiệp thương giá theo yêu cầu của cơ quan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1" w:name="dieu_8"/>
      <w:r w:rsidRPr="004C31AB">
        <w:rPr>
          <w:rFonts w:eastAsia="Times New Roman" w:cs="Times New Roman"/>
          <w:b/>
          <w:bCs/>
          <w:szCs w:val="24"/>
          <w:lang w:eastAsia="vi-VN"/>
        </w:rPr>
        <w:t>Điều 8. Hành vi không chấp hành đúng giá do cơ quan, người có thẩm quyền quyết định</w:t>
      </w:r>
      <w:bookmarkEnd w:id="11"/>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10.000.000 đồng đến 15.000.000 đồng đối với hành vi bán hàng hóa, cung ứng dịch vụ không đúng với mức giá do cơ quan, người có thẩm quyền quyết định, trừ các hành vi quy định tại Khoản 2, Khoản 3 và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2. Phạt tiền từ 20.000.000 đồng đến 25.000.000 đồng đối với hành vi bán hàng hóa, cung ứng dịch vụ không đúng với mức giá do Ủy ban nhân dân tỉnh, thành phố trực thuộc Trung ương quyết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25.000.000 đồng đến 30.000.000 đồng đối với hành vi bán hàng hóa, cung ứng dịch vụ không đúng với mức giá cụ thể hoặc không nằm trong khung giá hoặc cao hơn mức giá tối đa hoặc thấp hơn mức giá tối thiểu do Bộ trưởng, Thủ trưởng cơ quan ngang Bộ quyết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30.000.000 đồng đến 35.000.000 đồng đối với hành vi bán hàng hóa, cung ứng dịch vụ không đúng với mức giá cụ thể hoặc không nằm trong khung giá hoặc cao hơn mức giá tối đa hoặc thấp hơn mức giá tối thiểu do Chính phủ, Thủ tướng Chính phủ quyết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Biện pháp khắc phục hậu quả: Buộc trả lại cho khách hàng toàn bộ tiền chênh lệch do bán cao hơn mức giá quy định đối với hành vi vi phạm tại Khoản 1, Khoản 2, Khoản 3 và Khoản 4 Điều này, trong trường hợp khó hoặc không xác định được khách hàng để trả lại thì nộp vào ngân sách nhà nước.</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2" w:name="dieu_9"/>
      <w:r w:rsidRPr="004C31AB">
        <w:rPr>
          <w:rFonts w:eastAsia="Times New Roman" w:cs="Times New Roman"/>
          <w:b/>
          <w:bCs/>
          <w:szCs w:val="24"/>
          <w:lang w:eastAsia="vi-VN"/>
        </w:rPr>
        <w:t>Điều 9. Hành vi vi phạm quy định về lập phương án giá hàng hóa, dịch vụ</w:t>
      </w:r>
      <w:bookmarkEnd w:id="12"/>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10.000.000 đồng đến 20.000.000 đồng đối với hành vi lập phương án giá hàng hóa, dịch vụ không đúng với hướng dẫn về phương pháp định giá do cơ quan nhà nước có thẩm quyền ban hành.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20.000.000 đồng đến 30.000.000 đồng đối với hành vi không lập phương án giá hàng hóa, dịch vụ theo yêu cầu của cơ quan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3" w:name="dieu_10"/>
      <w:r w:rsidRPr="004C31AB">
        <w:rPr>
          <w:rFonts w:eastAsia="Times New Roman" w:cs="Times New Roman"/>
          <w:b/>
          <w:bCs/>
          <w:szCs w:val="24"/>
          <w:lang w:eastAsia="vi-VN"/>
        </w:rPr>
        <w:t>Điều 10. Hành vi vi phạm quy định về giá trong hoạt động kinh doanh xuất khẩu gạo theo quy định của Chính phủ</w:t>
      </w:r>
      <w:bookmarkEnd w:id="13"/>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20.000.000 đồng đến 30.000.000 đồng đối với hành vi không báo cáo giá mua thóc gạo xuất khẩu, gian lận trong việc khai báo giá xuất khẩu gạo; không báo cáo hoặc báo cáo không đúng lượng hàng hóa tồn kho dự trữ lưu thông của thương nhân kinh doanh xuất khẩu gạo với cơ quan quản lý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80.000.000 đồng đến 120.000.000 đồng đối với hành vi xuất khẩu gạo thấp hơn giá sàn gạo xuất khẩu do cơ quan có thẩm quyền công bố hoặc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4" w:name="dieu_11"/>
      <w:r w:rsidRPr="004C31AB">
        <w:rPr>
          <w:rFonts w:eastAsia="Times New Roman" w:cs="Times New Roman"/>
          <w:b/>
          <w:bCs/>
          <w:szCs w:val="24"/>
          <w:lang w:eastAsia="vi-VN"/>
        </w:rPr>
        <w:t>Điều 11. Hành vi vi phạm quy định về đăng ký giá, kê khai giá hàng hóa, dịch vụ</w:t>
      </w:r>
      <w:bookmarkEnd w:id="14"/>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5.000.000 đồng đến 10.000.000 đồng đối với hành vi kê khai giá sai so với mẫu văn bản kê khai giá đã được cơ quan nhà nước có thẩm quyền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15.000.000 đồng đến 20.000.000 đồng đối với hành vi xây dựng các mức giá để đăng ký giá sai so với hướng dẫn của cơ quan nhà nước có thẩm quyền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20.000.000 đồng đến 25.000.000 đồng đối với hành vi không kê khai giá với cơ quan nhà nước có thẩm quyền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4. Phạt tiền từ 25.000.000 đồng đến 30.000.000 đồng đối với hành vi không đăng ký giá với cơ quan nhà nước có thẩm quyền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Buộc dừng thực hiện mức giá bán hàng hóa, dịch vụ do tổ chức, cá nhân quy định khi đăng ký giá không đúng với hướng dẫn về phương pháp tính giá do cơ quan có thẩm quyền quyết định đối với hành vi vi phạm quy định tại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Buộc nộp vào ngân sách nhà nước toàn bộ tiền chênh lệch giá do vi phạm hành chính quy định tại Khoản 2 Điều này do đăng ký giá không đúng với hướng dẫn về phương pháp định giá do cơ quan có thẩm quyền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5" w:name="dieu_12"/>
      <w:r w:rsidRPr="004C31AB">
        <w:rPr>
          <w:rFonts w:eastAsia="Times New Roman" w:cs="Times New Roman"/>
          <w:b/>
          <w:bCs/>
          <w:szCs w:val="24"/>
          <w:lang w:eastAsia="vi-VN"/>
        </w:rPr>
        <w:t>Điều 12. Hành vi vi phạm quy định về công khai thông tin về giá hàng hóa, dịch vụ</w:t>
      </w:r>
      <w:bookmarkEnd w:id="15"/>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cảnh cáo đối với một trong các hành vi sau đây: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niêm yết giá hàng hóa, dịch vụ tại địa điểm phải niêm yết giá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Niêm yết giá không đúng quy định, không rõ ràng gây nhầm lẫn cho khách hàng.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300.000 đồng đến 500.000 đồng đối với hành vi tại Khoản 1 Điều này vi phạm từ lần thứ hai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5.000.000 đồng đến 10.000.000 đồng đối với hành vi bán cao hơn giá niêm yết hàng hóa, dịch vụ do tổ chức, cá nhân định giá không thuộc Khoản 5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10.000.000 đồng đến 15.000.000 đồng đối với hành vi không công khai thông tin về giá hàng hóa, dịch vụ bằng hình thức khác theo quy định của pháp luật ngoài hình thức niêm yết giá đối với hàng hóa, dịch vụ thuộc Danh mục hàng hóa, dịch vụ do Nhà nước định giá; Danh mục hàng hóa, dịch vụ thực hiện bình ổn giá, kê khai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20.000.000 đồng đến 30.000.000 đồng đối với hành vi bán cao hơn giá niêm yết đối với hàng hóa, dịch vụ thuộc Danh mục bình ổn giá, hàng hóa, dịch vụ thuộc Danh mục hạn chế kinh doanh hoặc kinh doanh có điều kiện.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Phạt tiền từ 30.000.000 đồng đến 40.000.000 đồng đối với hành vi không công khai về Quỹ bình ổn giá theo yêu cầu của cơ quan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Biện pháp khắc phục hậu quả: Buộc trả lại cho khách hàng số tiền đã thu cao hơn giá niêm yết đối với hành vi vi phạm quy định tại Khoản 3 và Khoản 5 Điều này, trường hợp không xác định được khách hàng để trả lại thì nộp vào ngân sách nhà nước.</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6" w:name="dieu_13"/>
      <w:r w:rsidRPr="004C31AB">
        <w:rPr>
          <w:rFonts w:eastAsia="Times New Roman" w:cs="Times New Roman"/>
          <w:b/>
          <w:bCs/>
          <w:szCs w:val="24"/>
          <w:lang w:eastAsia="vi-VN"/>
        </w:rPr>
        <w:t>Điều 13. Hành vi tăng hoặc giảm giá hàng hóa, dịch vụ bất hợp lý</w:t>
      </w:r>
      <w:bookmarkEnd w:id="16"/>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1.000.000 đồng đến 5.000.000 đồng nếu hàng hóa, dịch vụ bán tăng giá có tổng giá trị đến 50.000.000 đồng, đối với một trong những hành vi tăng giá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a) Tăng giá bán hàng hóa, dịch vụ cao hơn mức giá đã kê khai hoặc đăng ký với cơ quan quản lý nhà nước có thẩm quyền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5.000.000 đồng đến 10.000.000 đồng đối với hành vi vi phạm quy định tại Khoản 1 Điều này nếu hàng hóa, dịch vụ có tổng giá trị từ trên 50.000.000 đồng đến 100.000.000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10.000.000 đồng đến 20.000.000 đồng đối với hành vi vi phạm quy định tại Khoản 1 Điều này nếu hàng hóa, dịch vụ có tổng giá trị từ trên 100.000.000 đồng đến 200.000.000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20.000.000 đồng đến 40.000.000 đồng đối với hành vi vi phạm quy định tại Khoản 1 Điều này nếu hàng hóa, dịch vụ có tổng giá trị từ trên 200.000.000 đồng đến 500.000.000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40.000.000 đồng đến 60.000.000 đồng đối với hành vi vi phạm quy định tại Khoản 1 Điều này nếu hàng hóa, dịch vụ có tổng giá trị trên 500.000.000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Phạt tiền từ 25.000.000 đồng đến 55.000.000 đồng hành vi tăng hoặc giảm giá hàng hóa, dịch vụ bất hợp lý khi kiểm tra yếu tố hình thành giá theo yêu cầu của Thủ tướng Chính phủ, Bộ trưởng, Thủ trưởng cơ quan ngang Bộ, Chủ tịch Ủy ban nhân dân cấp tỉnh.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Biện pháp khắc phục hậu quả: Buộc nộp vào ngân sách nhà nước số tiền thu lợi do vi phạm hành chính đối với hành vi quy định tại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7" w:name="dieu_14"/>
      <w:r w:rsidRPr="004C31AB">
        <w:rPr>
          <w:rFonts w:eastAsia="Times New Roman" w:cs="Times New Roman"/>
          <w:b/>
          <w:bCs/>
          <w:szCs w:val="24"/>
          <w:lang w:eastAsia="vi-VN"/>
        </w:rPr>
        <w:t>Điều 14. Hành vi đưa tin thất thiệt về thị trường, giá cả hàng hóa, dịch vụ</w:t>
      </w:r>
      <w:bookmarkEnd w:id="17"/>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10.000.000 đồng đến 15.000.000 đồng đối với hành vi bịa đặt, loan tin, đưa tin không đúng sự thật về tình hình thị trường, giá cả hàng hóa, dịch vụ gây tâm lý hoang mang trong xã hội và bất ổn thị trường.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75.000.000 đồng đến 100.000.000 đồng đối với hành vi vi phạm quy định tại Khoản 1 Điều này trên phương tiện thông tin đại chúng như báo in, báo nói, báo hình, báo điện tử hoặc các ấn phẩm thông tin khác.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Buộc cải chính thông tin đối với hành vi vi phạm quy định tại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Buộc tiêu hủy hoặc tịch thu tiêu hủy các ấn phẩm có nội dung thông tin sai phạm đối với hành vi vi phạm quy định tại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8" w:name="dieu_15"/>
      <w:r w:rsidRPr="004C31AB">
        <w:rPr>
          <w:rFonts w:eastAsia="Times New Roman" w:cs="Times New Roman"/>
          <w:b/>
          <w:bCs/>
          <w:szCs w:val="24"/>
          <w:lang w:eastAsia="vi-VN"/>
        </w:rPr>
        <w:t>Điều 15. Hành vi vi phạm quy định về cung cấp số liệu, tài liệu có liên quan theo yêu cầu của cơ quan nhà nước có thẩm quyền</w:t>
      </w:r>
      <w:bookmarkEnd w:id="18"/>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1. Phạt cảnh cáo đối với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Chậm cung cấp so với yêu cầu của cơ quan nhà nước có thẩm quyền trong thời hạn dưới 05 ngày làm việc thông tin về giá hàng hóa, dịch vụ theo yêu cầu bằng văn bản của cơ quan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Chậm cung cấp so với yêu cầu của cơ quan nhà nước có thẩm quyền trong thời hạn dưới 02 ngày làm việc về số liệu, tài liệu có liên quan theo yêu cầu bằng văn bản của cơ quan nhà nước có thẩm quyền trong trường hợp Nhà nước định giá, kiểm tra yếu tố hình thành giá đối với hàng hóa, dịch vụ của tổ chức, cá nhân sản xuất, kinh doanh.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5.000.000 đồng đến 8.000.000 đồng đối với hành vi chậm cung cấp so với yêu cầu của cơ quan nhà nước có thẩm quyền trong thời hạn từ 05 ngày làm việc đến 15 ngày làm việc; cung cấp không đầy đủ; cung cấp không chính xác thông tin về giá hàng hóa, dịch vụ theo yêu cầu bằng văn bản của cơ quan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6.000.000 đồng đến 9.000.000 đồng đối với hành vi chậm cung cấp so với yêu cầu của cơ quan nhà nước có thẩm quyền trong thời hạn từ 02 ngày làm việc đến 10 ngày làm việc; cung cấp không chính xác; cung cấp không đầy đủ số liệu, tài liệu có liên quan theo yêu cầu bằng văn bản của cơ quan nhà nước có thẩm quyền trong trường hợp Nhà nước định giá, kiểm tra yếu tố hình thành giá đối với hàng hóa, dịch vụ của tổ chức, cá nhân sản xuất, kinh doanh.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8.000.000 đồng đến 11.000.000 đồng đối với hành vi chậm cung cấp thông tin so với yêu cầu của cơ quan nhà nước có thẩm quyền quá 15 ngày làm việc hoặc quá thời hạn nộp của kỳ báo cáo tiếp theo đối với các báo cáo định kỳ về giá hàng hóa, dịch vụ theo yêu cầu bằng văn bản của cơ quan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9.000.000 đồng đến 12.000.000 đối với hành vi chậm cung cấp so với yêu cầu của cơ quan nhà nước có thẩm quyền quá 10 ngày làm việc về số liệu, tài liệu có liên quan theo yêu cầu bằng văn bản của cơ quan có thẩm quyền trong trường hợp Nhà nước định giá, kiểm tra yếu tố hình thành giá đối với hàng hóa, dịch vụ của tổ chức, cá nhân sản xuất, kinh doanh.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19" w:name="dieu_16"/>
      <w:r w:rsidRPr="004C31AB">
        <w:rPr>
          <w:rFonts w:eastAsia="Times New Roman" w:cs="Times New Roman"/>
          <w:b/>
          <w:bCs/>
          <w:szCs w:val="24"/>
          <w:lang w:eastAsia="vi-VN"/>
        </w:rPr>
        <w:t>Điều 16. Hành vi gian lận về giá</w:t>
      </w:r>
      <w:bookmarkEnd w:id="19"/>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20.000.000 đồng đến 30.000.000 đồng đối với hành vi gian lận về giá bằng cách thay đổi nội dung đã cam kết mà không thông báo trước với khách hàng về thời gian; địa điểm; điều kiện mua, bán; chất lượng hàng hóa, dịch vụ tại thời điểm giao hàng, cung ứng dịch vụ.</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Biện pháp khắc phục hậu quả: Buộc trả lại cho khách hàng mọi chi phí phát sinh do hành vi vi phạm hành chính gây ra.</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0" w:name="dieu_17"/>
      <w:r w:rsidRPr="004C31AB">
        <w:rPr>
          <w:rFonts w:eastAsia="Times New Roman" w:cs="Times New Roman"/>
          <w:b/>
          <w:bCs/>
          <w:szCs w:val="24"/>
          <w:lang w:eastAsia="vi-VN"/>
        </w:rPr>
        <w:t>Điều 17. Hành vi lợi dụng khủng hoảng kinh tế, thiên tai, địch họa, hỏa hoạn, dịch bệnh và điều kiện bất thường, lợi dụng chính sách của Nhà nước để định giá mua, giá bán hàng hóa, dịch vụ bất hợp lý</w:t>
      </w:r>
      <w:bookmarkEnd w:id="20"/>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2. Biện pháp khắc phục hậu quả: Buộc nộp vào ngân sách nhà nước số tiền thu lợi do định giá mua, giá bán hàng hóa, dịch vụ bất hợp lý.</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1" w:name="dieu_18"/>
      <w:r w:rsidRPr="004C31AB">
        <w:rPr>
          <w:rFonts w:eastAsia="Times New Roman" w:cs="Times New Roman"/>
          <w:b/>
          <w:bCs/>
          <w:szCs w:val="24"/>
          <w:lang w:eastAsia="vi-VN"/>
        </w:rPr>
        <w:t>Điều 18. Hành vi vi phạm quy định đối với doanh nghiệp thẩm định giá</w:t>
      </w:r>
      <w:bookmarkEnd w:id="21"/>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5.000.000 đồng đến 10.000.000 đồng đối với các hành vi chậm thông báo bằng văn bản cho Bộ Tài chính sau thời gian 20 ngày làm việc trong các trường hợp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bảo đảm một trong các điều kiện cấp Giấy chứng nhận đủ điều kiện kinh doanh dịch vụ thẩm định giá theo quy định pháp luật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Có sự thay đổi nội dung Giấy chứng nhận đủ điều kiện kinh doanh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Giấy chứng nhận đủ điều kiện kinh doanh dịch vụ thẩm định giá bị mất, bị rách, bị cháy hoặc bị hủy hoại do thiên tai, địch họa hoặc lý do bất khả kháng khác;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Thay đổi về danh sách thẩm định viên về giá đăng ký hành nghề tại doanh nghiệp (gồm: tên, năm sinh, quê quán, chức vụ, số Thẻ thẩm định viên và ngày cấp Thẻ thẩm định viên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đ) Doanh nghiệp chia, tách, sáp nhập, hợp nhất, chuyển đổi hình thức sở hữu;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e) Doanh nghiệp bị giải thể, phá sản, tạm ngừng, tự chấm dứt kinh doanh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g) Doanh nghiệp bị thu hồi Giấy chứng nhận đăng ký kinh doanh, Giấy chứng nhận đăng ký doanh nghiệp.</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10.000.000 đồng đến 15.000.000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Chậm thông báo bằng văn bản cho Bộ Tài chính sau thời gian 35 ngày làm việc kể từ ngày đặt cơ sở hoặc chấm dứt hoạt động của cơ sở kinh doanh dịch vụ thẩm định giá ở nước ngoài;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Chậm thực hiện báo cáo, cung cấp thông tin theo quy định của pháp luật về hoạt động cung cấp dịch vụ thẩm định giá sau thời gian 05 ngày làm việc kể từ ngày phải báo cáo, cung cấp thông tin về hoạt động cung cấp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Chậm cung cấp chứng thư thẩm định giá, báo cáo kết quả thẩm định giá hoặc các tài liệu có liên quan theo yêu cầu của cơ quan nhà nước có thẩm quyền sau thời gian 05 ngày làm việc kể từ ngày phải báo cáo, cung cấp thông tin về hoạt động cung cấp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15.000.000 đồng đến 20.000.000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thông báo bằng văn bản cho Bộ Tài chính sau thời gian 40 ngày làm việc khi thay đổi một trong các nội dung quy định tại Khoản 1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thông báo bằng văn bản cho Bộ Tài chính sau thời gian 45 ngày làm việc kể từ ngày đặt cơ sở hoặc chấm dứt hoạt động của cơ sở kinh doanh dịch vụ thẩm định giá ở nước ngoài;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 xml:space="preserve">c) Không thực hiện báo cáo, không cung cấp thông tin cho cơ quan quản lý nhà nước có thẩm quyền theo quy định của pháp luật về chế độ báo cáo đối với hoạt động cung cấp dịch vụ thẩm </w:t>
      </w:r>
      <w:r w:rsidRPr="004C31AB">
        <w:rPr>
          <w:rFonts w:eastAsia="Times New Roman" w:cs="Times New Roman"/>
          <w:szCs w:val="24"/>
          <w:lang w:eastAsia="vi-VN"/>
        </w:rPr>
        <w:lastRenderedPageBreak/>
        <w:t>định giá sau 20 ngày làm việc kể từ ngày phải báo cáo, cung cấp thông tin về hoạt động cung cấp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Không cung cấp chứng thư thẩm định giá, hoặc báo cáo kết quả thẩm định giá, hoặc các tài liệu có liên quan theo yêu cầu của cơ quan nhà nước có thẩm quyền sau thời gian 15 ngày làm việc kể từ ngày phải báo cáo, cung cấp thông tin về hoạt động cung cấp dịch vụ thẩm định giá theo văn bản yêu cầu của cơ quan nhà nước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20.000.000 đồng đến 30.000.000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Thực hiện thẩm định giá mà không có hợp đồng cung cấp dịch vụ thẩm định giá đồng thời cũng không có văn bản yêu cầu thẩm định giá của khách hàng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Phát hành Chứng thư thẩm định giá hoặc Báo cáo thẩm định giá không có đủ các thông tin cơ bản theo hướng dẫn tại Tiêu chuẩn thẩm định giá Việt Nam.</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30.000.000 đồng đến 40.000.000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Tranh giành khách hàng dưới hình thức ngăn cản, đe dọa, lôi kéo, mua chuộc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Gây trở ngại hoặc can thiệp vào công việc điều hành của tổ chức, cá nhân có nhu cầu thẩm định giá khi họ thực hiện đúng chức năng, nhiệm vụ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Tiết lộ thông tin về hồ sơ, khách hàng thẩm định giá và tài sản được thẩm định giá khi không được sự đồng ý của khách hàng thẩm định giá hoặc không được pháp luật cho phép.</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Phạt tiền từ 40.000.000 đồng đến 60.000.000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lưu trữ hồ sơ thẩm định giá theo đúng quy định của pháp luật về giá trừ trường hợp nêu tại Điểm d Khoản 8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Sửa chữa, thay đổi nội dung hồ sơ thẩm định giá đang được lưu;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Không tuân thủ các quy định của pháp luật về bảo quản, khai thác hồ sơ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Phạt tiền từ 60.000.000 đồng đến 80.000.000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thực hiện đúng quy trình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thực hiện đúng phương pháp thẩm định giá theo hướng dẫn tại Tiêu chuẩn thẩm định giá Việt Nam;</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Không áp dụng đủ các phương pháp thẩm định giá theo quy định của pháp luật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8. Phạt tiền từ 80.000.000 đồng đến 100.000.000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Giả mạo, thuê, mượn Thẻ thẩm định viên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b) Kê khai không đúng hoặc gian lận, giả mạo hồ sơ đề nghị cấp Giấy chứng nhận đủ điều kiện kinh doanh dịch vụ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Nhận hoặc yêu cầu bất kỳ một khoản tiền hoặc lợi ích khác từ khách hàng thẩm định giá ngoài mức giá dịch vụ đã được thỏa thuận trong hợp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Không lưu trữ hồ sơ thẩm định giá theo thời hạn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9. Phạt tiền từ 100.000.000 đồng đến 120.000.000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Thực hiện thẩm định giá đối với các trường hợp doanh nghiệp thẩm định giá không được thực hiện thẩm định giá theo quy định của pháp luật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Phát hành chứng thư thẩm định giá hoặc báo cáo kết quả thẩm định giá được ký bởi người không phải thẩm định viên về giá đăng ký hành nghề thẩm định giá tại doanh nghiệp thẩm định giá tại thời điểm phát hành.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10. Phạt tiền từ 120.000.000 đồng đến 150.000.000 đồng đối với hành vi làm sai lệch hồ sơ tài sản thẩm định giá hoặc sai lệch thông tin liên quan đến tài sản thẩm định giá trừ trường hợp nêu tại Khoản 13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11. Phạt tiền từ 150.000.000 đồng đến 180.000.000 đồng đối với hành vi không trích lập quỹ dự phòng rủi ro nghề nghiệp, đồng thời không mua bảo hiểm trách nhiệm nghề nghiệp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12. Phạt tiền từ 180.000.000 đồng đến 220.000.000 đồng đối với hành vi thông đồng với chủ tài sản, khách hàng thẩm định giá, người có liên quan khi thực hiện thẩm định giá làm sai lệch kết quả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13. Phạt tiền từ 220.000.000 đồng đến 260.000.000 đồng đối với hành vi làm sai lệch hồ sơ tài sản thẩm định giá hoặc sai lệch thông tin liên quan đến tài sản thẩm định giá dẫn đến thẩm định giá cao hoặc thấp hơn 10% đối với tài sản là bất động sản, thiết bị, phương tiện vận tải; 15% đối với tài sản là vật tư, hàng hóa so với kết quả thẩm định giá cuối cùng của cơ quan quản lý nhà nước có thẩm quyền trong trường hợp doanh nghiệp thẩm định giá và cơ quan nhà nước có thẩm quyền áp dụng cùng một cách tiếp cận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14. Hình thức xử phạt bổ sung: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Đình chỉ có thời hạn từ 30 ngày đến 40 ngày hoạt động kinh doanh dịch vụ thẩm định giá đối với hành vi vi phạm quy định tại Khoản 6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Đình chỉ có thời hạn từ 50 ngày đến 60 ngày hoạt động kinh doanh dịch vụ thẩm định giá đối với hành vi vi phạm quy định tại Khoản 7, Khoản 8, Khoản 9, Khoản 10, Khoản 11, Khoản 12 và Khoản 13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Trong trường hợp doanh nghiệp thẩm định giá bị đình chỉ 02 tháng tại Điểm b Khoản 14 Điều này và không khắc phục được vi phạm trong thời gian bị đình chỉ thì bị thu hồi Giấy chứng nhận đủ điều kiện kinh doanh dịch vụ thẩm định giá theo quy định tại Điều 40 của Luật giá.</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2" w:name="dieu_19"/>
      <w:r w:rsidRPr="004C31AB">
        <w:rPr>
          <w:rFonts w:eastAsia="Times New Roman" w:cs="Times New Roman"/>
          <w:b/>
          <w:bCs/>
          <w:szCs w:val="24"/>
          <w:lang w:eastAsia="vi-VN"/>
        </w:rPr>
        <w:t>Điều 19. Hành vi vi phạm quy định đối với thẩm định viên về giá</w:t>
      </w:r>
      <w:bookmarkEnd w:id="22"/>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1. Phạt tiền từ 20.000.000 đồng đến 30.000.000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Tiết lộ thông tin về hồ sơ, khách hàng thẩm định giá hoặc tài sản được thẩm định giá khi không được sự đồng ý của khách hàng thẩm định giá hoặc không được pháp luật cho phép;</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Nhận bất kỳ một khoản tiền hoặc lợi ích nào khác từ tổ chức, cá nhân có nhu cầu thẩm định giá ngoài mức giá dịch vụ đã thỏa thuận trong hợp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30.000.000 đồng đến 40.000.000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thực hiện đúng hướng dẫn tại Tiêu chuẩn thẩm định giá Việt Nam về quy trình thẩm định giá, phương pháp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áp dụng đủ các phương pháp thẩm định giá theo quy định của pháp luật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40.000.000 đồng đến 50.000.000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Giả mạo, cho thuê, cho mượn Thẻ thẩm định viên về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Đăng ký hành nghề thẩm định giá trong cùng một thời gian cho từ hai doanh nghiệp thẩm định giá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Hành nghề thẩm định giá trong cùng một thời gian cho từ hai doanh nghiệp thẩm định giá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Ký chứng thư thẩm định giá tại một doanh nghiệp thẩm định giá mà không đăng ký hành nghề thẩm định giá tại doanh nghiệp đó.</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50.000.000 đồng đến 70.000.000 đồng đối với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Thông đồng với chủ tài sản, khách hàng, người có liên quan khi thực hiện thẩm định giá nhằm làm sai lệch kết quả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Làm sai lệch hồ sơ tài sản thẩm định giá hoặc sai lệch thông tin liên quan đến tài sản thẩm định giá dẫn tới sai lệch kết quả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Hình thức xử phạt bổ sung: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Tước có thời hạn từ 30 ngày đến 50 ngày Thẻ thẩm định viên về giá đối với hành vi vi phạm quy định tại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Tước có thời hạn từ 50 ngày đến 70 ngày Thẻ thẩm định viên về giá đối với hành vi vi phạm quy định tại Khoản 3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Tước có thời hạn từ 70 ngày đến 90 ngày Thẻ thẩm định viên về giá đối với hành vi vi phạm quy định tại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6. Biện pháp khắc phục hậu quả: Buộc nộp vào ngân sách nhà nước khoản tiền do thông đồng với khách hàng, khoản tiền thu lợi bất chính (nếu có) đối với hành vi vi phạm tại Điểm b Khoản 1, Khoản 2, Điểm a Khoản 3,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3" w:name="dieu_20"/>
      <w:r w:rsidRPr="004C31AB">
        <w:rPr>
          <w:rFonts w:eastAsia="Times New Roman" w:cs="Times New Roman"/>
          <w:b/>
          <w:bCs/>
          <w:szCs w:val="24"/>
          <w:lang w:eastAsia="vi-VN"/>
        </w:rPr>
        <w:t>Điều 20. Hành vi vi phạm quy định đối với người có tài sản thẩm định giá và người sử dụng kết quả thẩm định giá</w:t>
      </w:r>
      <w:bookmarkEnd w:id="23"/>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3.000.000 đồng đến 5.000.000 đối với hành vi lựa chọn tổ chức không đủ điều kiện hành nghề thẩm định giá để ký hợp đồng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5.000.000 đồng đến 10.000.000 đối với hành vi sử dụng kết quả thẩm định giá không đúng với mục đích thẩm định giá đã được ghi trong hợp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10.000.000 đồng đến 20.000.000 đối với hành vi cung cấp không chính xác, không trung thực, không đầy đủ thông tin, tài liệu liên quan đến tài sản cần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20.000.000 đồng đến 30.000.000 đối với hành vi mua chuộc, hối lộ, thông đồng với thẩm định viên về giá, doanh nghiệp thẩm định giá để làm sai lệch kết quả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Biện pháp khắc phục hậu quả: Hủy kết quả thẩm định giá do hành vi vi phạm hành chính tại Khoản 1, Khoản 3 và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4" w:name="dieu_21"/>
      <w:r w:rsidRPr="004C31AB">
        <w:rPr>
          <w:rFonts w:eastAsia="Times New Roman" w:cs="Times New Roman"/>
          <w:b/>
          <w:bCs/>
          <w:szCs w:val="24"/>
          <w:lang w:eastAsia="vi-VN"/>
        </w:rPr>
        <w:t>Điều 21. Hành vi vi phạm đối với tổ chức đào tạo, bồi dưỡng nghiệp vụ chuyên ngành thẩm định giá</w:t>
      </w:r>
      <w:bookmarkEnd w:id="24"/>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5.000.000 đồng đến 10.000.000 đồng đối với các tổ chức đào tạo, bồi dưỡng nghiệp vụ chuyên ngành thẩm định giá có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Chậm gửi hồ sơ, tài liệu liên quan đến việc tổ chức khóa đào tạo, bồi dưỡng theo quy định của pháp luật sau 05 ngày làm việc kể từ ngày quy định hoặc thời hạn xác định phải gửi hồ sơ, tài liệu liên quan đến việc tổ chức khóa đào tạo;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Chậm bổ sung các tài liệu còn thiếu liên quan đến việc tổ chức khóa đào tạo, bồi dưỡng theo yêu cầu bằng văn bản của Bộ Tài chính sau 05 ngày làm việc kể từ hạn nộp bổ sung tài liệu theo yêu cầu bằng văn bản của Bộ Tài chính hoặc kể từ ngày nhận được công văn yêu cầu của Bộ Tài chính theo dấu bưu điện;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Chậm gửi báo cáo kết quả tổ chức khóa đào tạo, bồi dưỡng nghiệp vụ chuyên ngành thẩm định giá đến Bộ Tài chính sau 10 ngày làm việc kể từ ngày kết thúc khóa đào tạo, bồi dưỡng nghiệp vụ chuyên ngành thẩm định giá hoặc ngày khác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Không thực hiện việc lấy ý kiến đánh giá của học viên trên Phiếu đánh giá chất lượng khóa học.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10.000.000 đồng đến 20.000.000 đồng đối với các tổ chức đào tạo, bồi dưỡng nghiệp vụ chuyên ngành thẩm định giá có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gửi hồ sơ, tài liệu liên quan đến việc tổ chức khóa đào tạo, bồi dưỡng theo quy định của pháp luật trong vòng 30 ngày kể từ hạn cuối hoặc ngày phải gửi hồ sơ, tài liệu liên quan đến việc tổ chức khóa đào tạo cho cơ quan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b) Không bổ sung các tài liệu còn thiếu liên quan đến việc tổ chức khóa đào tạo, bồi dưỡng theo yêu cầu bằng văn bản của Bộ Tài chính sau 15 ngày làm việc kể từ hạn nộp bổ sung tài liệu theo yêu cầu bằng văn bản của Bộ Tài chính hoặc kể từ ngày nhận được công văn yêu cầu của Bộ Tài chính theo dấu bưu điện;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Không gửi báo cáo kết quả tổ chức khóa đào tạo, bồi dưỡng nghiệp vụ chuyên ngành thẩm định giá đến Bộ Tài chính sau 30 ngày kể từ ngày kết thúc khóa đào tạo, bồi dưỡng nghiệp vụ chuyên ngành thẩm định giá hoặc ngày khác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Vi phạm quy định về lưu giữ hồ sơ liên quan đến các khóa đào tạo, bồi dưỡng nghiệp vụ chuyên ngành thẩm định giá.</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20.000.000 đồng đến 30.000.000 đồng đối với các tổ chức đào tạo, bồi dưỡng nghiệp vụ chuyên ngành thẩm định giá có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Vi phạm quy định về trình tự, nội dung, chương trình và thời gian học;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Bố trí giảng viên không đáp ứng điều kiện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30.000.000 đồng đến 40.000.000 đồng đối với các tổ chức đào tạo, bồi dưỡng nghiệp vụ chuyên ngành thẩm định giá có một trong các hành vi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Cấp chứng chỉ đào tạo, bồi dưỡng nghiệp vụ chuyên ngành thẩm định giá cho những người có tham gia khóa học nhưng không đạt yêu cầu theo quy định của pháp luật về thời gian học và kết quả kiểm tra;</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Cấp chứng chỉ đào tạo, bồi dưỡng nghiệp vụ chuyên ngành thẩm định giá cho những người thực tế không tham gia khóa học.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Biện pháp xử phạt bổ sung: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Đình chỉ từ 30 ngày đến 50 ngày hoạt động tổ chức đào tạo, cấp chứng chỉ bồi dưỡng nghiệp vụ về thẩm định giá đối với hành vi vi phạm tại Khoản 2 và Khoản 3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Đình chỉ từ 50 ngày đến 70 ngày hoạt động tổ chức đào tạo, cấp chứng chỉ bồi dưỡng nghiệp vụ về thẩm định giá đối với hành vi vi phạm tại Điểm a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Đình chỉ từ 70 ngày đến 90 ngày hoạt động tổ chức đào tạo, cấp chứng chỉ bồi dưỡng nghiệp vụ về thẩm định giá đối với hành vi vi phạm tại Điểm b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Hủy chứng chỉ bồi dưỡng nghiệp vụ về thẩm định giá cấp sai quy định của pháp luật đối với hành vi vi phạm quy định tại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Buộc nộp vào ngân sách nhà nước số tiền thu lợi do vi phạm hành chính đối hành vi vi phạm quy định tại Khoản 4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5" w:name="chuong_3"/>
      <w:r w:rsidRPr="004C31AB">
        <w:rPr>
          <w:rFonts w:eastAsia="Times New Roman" w:cs="Times New Roman"/>
          <w:b/>
          <w:bCs/>
          <w:szCs w:val="24"/>
          <w:lang w:eastAsia="vi-VN"/>
        </w:rPr>
        <w:t>Chương 3.</w:t>
      </w:r>
      <w:bookmarkEnd w:id="25"/>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6" w:name="chuong_3_name"/>
      <w:r w:rsidRPr="004C31AB">
        <w:rPr>
          <w:rFonts w:eastAsia="Times New Roman" w:cs="Times New Roman"/>
          <w:b/>
          <w:bCs/>
          <w:szCs w:val="24"/>
          <w:lang w:eastAsia="vi-VN"/>
        </w:rPr>
        <w:lastRenderedPageBreak/>
        <w:t>HÀNH VI VI PHẠM HÀNH CHÍNH, HÌNH THỨC XỬ PHẠT, BIỆN PHÁP KHẮC PHỤC HẬU QUẢ TRONG LĨNH VỰC QUẢN LÝ PHÍ, LỆ PHÍ</w:t>
      </w:r>
      <w:bookmarkEnd w:id="26"/>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7" w:name="dieu_22"/>
      <w:r w:rsidRPr="004C31AB">
        <w:rPr>
          <w:rFonts w:eastAsia="Times New Roman" w:cs="Times New Roman"/>
          <w:b/>
          <w:bCs/>
          <w:szCs w:val="24"/>
          <w:lang w:eastAsia="vi-VN"/>
        </w:rPr>
        <w:t>Điều 22. Hành vi vi phạm quy định đăng ký, kê khai phí, lệ phí</w:t>
      </w:r>
      <w:bookmarkEnd w:id="27"/>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cảnh cáo trong trường hợp vi phạm lần đầu đối với hành vi đăng ký, kê khai chậm thời hạn theo quy định pháp luật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500.000 đồng đến 1.000.000 đồng trong trường hợp vi phạm từ lần thứ hai trở đi đối với hành vi đăng ký, kê khai chậm thời hạn theo quy định pháp luật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1.000.000 đồng đến 3.000.000 đồng đối với hành vi khai không đúng, khai không đủ các khoản mục quy định trong các tờ khai thu, nộp phí, lệ phí hay trong tài liệu kế toán để cung cấp cho cơ quan quản lý nhà nước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3.000.000 đồng đến 5.000.000 đồng đối với hành vi không đăng ký, kê khai thu, nộp phí, lệ phí với cơ quan quản lý nhà nước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8" w:name="dieu_23"/>
      <w:r w:rsidRPr="004C31AB">
        <w:rPr>
          <w:rFonts w:eastAsia="Times New Roman" w:cs="Times New Roman"/>
          <w:b/>
          <w:bCs/>
          <w:szCs w:val="24"/>
          <w:lang w:eastAsia="vi-VN"/>
        </w:rPr>
        <w:t>Điều 23. Hành vi vi phạm quy định công khai chế độ thu phí, lệ phí</w:t>
      </w:r>
      <w:bookmarkEnd w:id="28"/>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Phạt tiền từ 1.000.000 đồng đến 3.000.000 đồng khi thực hiện một trong các hành vi sau đây: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Không công khai chế độ thu phí, lệ phí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Niêm yết hoặc thông báo không đúng quy định, không rõ ràng gây nhầm lẫn cho người nộp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29" w:name="dieu_24"/>
      <w:r w:rsidRPr="004C31AB">
        <w:rPr>
          <w:rFonts w:eastAsia="Times New Roman" w:cs="Times New Roman"/>
          <w:b/>
          <w:bCs/>
          <w:szCs w:val="24"/>
          <w:lang w:eastAsia="vi-VN"/>
        </w:rPr>
        <w:t>Điều 24. Hành vi vi phạm quy định về nộp phí, lệ phí</w:t>
      </w:r>
      <w:bookmarkEnd w:id="29"/>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cảnh cáo đối với hành vi không thực hiện đúng thông báo nộp tiền phí, lệ phí của cơ quan thuế; thời hạn nộp tiền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1 đến 3 lần số tiền phí, lệ phí gian lận, trốn nộp đối với hành vi gian lận, trốn nộp phí, lệ phí theo quy định. Mức phạt tối đa là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0" w:name="dieu_25"/>
      <w:r w:rsidRPr="004C31AB">
        <w:rPr>
          <w:rFonts w:eastAsia="Times New Roman" w:cs="Times New Roman"/>
          <w:b/>
          <w:bCs/>
          <w:szCs w:val="24"/>
          <w:lang w:eastAsia="vi-VN"/>
        </w:rPr>
        <w:t>Điều 25. Hành vi vi phạm quy định về mức phí, lệ phí</w:t>
      </w:r>
      <w:bookmarkEnd w:id="30"/>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Đối với hành vi thu phí, lệ phí không đúng mức phí, lệ phí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từ 500.000 đồng đến dưới 1.000.000 đồng đối với hành vi vi phạm có số tiền vi phạm đến dưới 10.000.000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1.000.000 đồng đến dưới 3.000.000 đồng đối với hành vi vi phạm có số tiền vi phạm từ 10.000.000 đồng đến dưới 30.000.000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Phạt tiền từ 3.000.000 đồng đến dưới 5.000.000 đồng đối với hành vi vi phạm có số tiền vi phạm từ 30.000.000 đồng đến dưới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Phạt tiền từ 5.000.000 đồng đến dưới 10.000.000 đồng đối với hành vi vi phạm có số tiền vi phạm từ 50.000.000 đồng đến dưới 100.000.000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đ) Phạt tiền từ 10.000.000 đồng đến dưới 30.000.000 đồng đối với hành vi vi phạm có số tiền vi phạm từ 100.000.000 đồng đến dưới 300.000.000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e) Phạt tiền từ 30.000.000 đồng đến 50.000.000 đồng đối với hành vi vi phạm có số tiền vi phạm từ 300.000.000 đồng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Biện pháp khắc phục hậu quả: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Buộc hoàn trả toàn bộ tiền phí, lệ phí do thực hiện sai pháp luật về phí, lệ phí cho người nộp phí, lệ phí. Trong trường hợp không xác định được người để hoàn trả thì nộp vào ngân sách nhà nước;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Buộc nộp vào ngân sách nhà nước toàn bộ số tiền có được do vi phạm pháp luật về mức thu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1" w:name="dieu_26"/>
      <w:r w:rsidRPr="004C31AB">
        <w:rPr>
          <w:rFonts w:eastAsia="Times New Roman" w:cs="Times New Roman"/>
          <w:b/>
          <w:bCs/>
          <w:szCs w:val="24"/>
          <w:lang w:eastAsia="vi-VN"/>
        </w:rPr>
        <w:t>Điều 26. Hành vi vi phạm quy định về miễn, giảm phí, lệ phí</w:t>
      </w:r>
      <w:bookmarkEnd w:id="31"/>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đối với hành vi khai man, khai khống hồ sơ để được áp dụng quy định miễn, giảm phí, lệ phí. Mức phạt là 20% tính trên số tiền được miễn, giảm. Mức phạt tối thiểu là 500.000 đồng, mức phạt tối đa là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Đối với hành vi khai man, khai khống hồ sơ để được hưởng chênh lệch từ việc thực hiện chính sách miễn, giảm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từ 500.000 đồng đến dưới 1.000.000 đồng đối với hành vi vi phạm có số tiền chênh lệch đến dưới 10.000.000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1.000.000 đồng đến dưới 3.000.000 đồng đối với vi phạm có số tiền chênh lệch từ 10.000.000 đồng đến dưới 30.000.000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Phạt tiền từ 3.000.000 đồng đến dưới 5.000.000 đồng đối với vi phạm có số tiền chênh lệch từ 30.000.000 đồng đến dưới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Phạt tiền từ 5.000.000 đồng đến dưới 10.000.000 đồng đối với hành vi vi phạm có số tiền chênh lệch từ 50.000.000 đồng đến dưới 100.000.000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đ) Phạt tiền từ 10.000.000 đồng đến dưới 30.000.000 đồng đối với hành vi vi phạm có số tiền chênh lệch từ 100.000.000 đồng đến dưới 300.000.000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e) Phạt tiền từ 30.000.000 đồng đến 50.000.000 đồng đối với hành vi vi phạm có số tiền chênh lệch từ 300.000.000 đồng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Biện pháp khắc phục hậu quả: Buộc nộp vào ngân sách nhà nước toàn bộ số tiền có được do vi phạm quy định tại Khoản 1 và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2" w:name="dieu_27"/>
      <w:r w:rsidRPr="004C31AB">
        <w:rPr>
          <w:rFonts w:eastAsia="Times New Roman" w:cs="Times New Roman"/>
          <w:b/>
          <w:bCs/>
          <w:szCs w:val="24"/>
          <w:lang w:eastAsia="vi-VN"/>
        </w:rPr>
        <w:t>Điều 27. Hành vi vi phạm quy định về quản lý, sử dụng tiền phí, lệ phí thuộc ngân sách nhà nước đối với trường hợp được giao, ủy quyền thu phí, lệ phí</w:t>
      </w:r>
      <w:bookmarkEnd w:id="32"/>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Đối với hành vi sử dụng tiền phí, lệ phí thuộc ngân sách nhà nước sai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a) Phạt tiền từ 500.000 đồng đến dưới 1.000.000 đồng đối với hành vi sử dụng tiền phí, lệ phí sai quy định pháp luật có giá trị dưới 10.000.000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1.000.000 đồng đến dưới 3.000.000 đồng đối với hành vi sử dụng tiền phí, lệ phí sai quy định của pháp luật có giá trị từ 10.000.000 đồng đến dưới 30.000.000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Phạt tiền từ 3.000.000 đồng đến dưới 5.000.000 đồng đối với hành vi sử dụng tiền phí, lệ phí sai quy định của pháp luật có giá trị từ 30.000.000 đồng đến dưới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Phạt tiền từ 5.000.000 đồng đến dưới 10.000.000 đồng đối với hành vi sử dụng tiền phí, lệ phí sai quy định của pháp luật có giá trị từ 50.000.000 đồng đến dưới 100.000.000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đ) Phạt tiền từ 10.000.000 đồng đến dưới 30.000.000 đồng đối với hành vi sử dụng tiền phí, lệ phí sai quy định của pháp luật có giá trị từ 100.000.000 đồng đến dưới 300.000.000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e) Phạt tiền từ 30.000.000 đồng đến 50.000.000 đồng đối với hành vi sử dụng tiền phí, lệ phí sai quy định có giá trị từ 300.000.000 đồng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Biện pháp khắc phục hậu quả: Buộc nộp vào ngân sách nhà nước toàn bộ số tiền có được do hành vi vi phạm quy định tại Khoản 1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3" w:name="dieu_28"/>
      <w:r w:rsidRPr="004C31AB">
        <w:rPr>
          <w:rFonts w:eastAsia="Times New Roman" w:cs="Times New Roman"/>
          <w:b/>
          <w:bCs/>
          <w:szCs w:val="24"/>
          <w:lang w:eastAsia="vi-VN"/>
        </w:rPr>
        <w:t>Điều 28. Hành vi vi phạm quy định về in chứng từ thu phí, lệ phí</w:t>
      </w:r>
      <w:bookmarkEnd w:id="33"/>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dưới 4.000.000 đồng đối với hành vi nhận in, tự in chứng từ không đúng quy định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4.000.000 đồng đến 8.000.000 đồng đối với hành vi nhận in, tự in chứng từ trùng ký hiệu, trùng số.</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Biện pháp khắc phục hậu quả: Buộc nộp vào ngân sách nhà nước toàn bộ số tiền có được do hành vi vi phạm quy định tại Khoản 1 và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4" w:name="dieu_29"/>
      <w:r w:rsidRPr="004C31AB">
        <w:rPr>
          <w:rFonts w:eastAsia="Times New Roman" w:cs="Times New Roman"/>
          <w:b/>
          <w:bCs/>
          <w:szCs w:val="24"/>
          <w:lang w:eastAsia="vi-VN"/>
        </w:rPr>
        <w:t>Điều 29. Hành vi vi phạm quy định về đăng ký sử dụng chứng từ thu phí, lệ phí</w:t>
      </w:r>
      <w:bookmarkEnd w:id="34"/>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500.000 đồng đến 2.000.000 đồng đối với hành vi sử dụng chứng từ nhưng không đăng ký với cơ quan nhà nước có thẩm quyền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Biện pháp khắc phục hậu quả: Buộc nộp vào ngân sách nhà nước toàn bộ số tiền có được do hành vi vi phạm quy định tại Khoản 1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5" w:name="dieu_30"/>
      <w:r w:rsidRPr="004C31AB">
        <w:rPr>
          <w:rFonts w:eastAsia="Times New Roman" w:cs="Times New Roman"/>
          <w:b/>
          <w:bCs/>
          <w:szCs w:val="24"/>
          <w:lang w:eastAsia="vi-VN"/>
        </w:rPr>
        <w:t>Điều 30. Hành vi vi phạm quy định về sử dụng chứng từ thu phí, lệ phí</w:t>
      </w:r>
      <w:bookmarkEnd w:id="35"/>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Đối với hành vi lập chứng từ không ghi rõ các chỉ tiêu quy định trong chứng từ, trừ các chỉ tiêu xác định số tiền phí, lệ phí:</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 đối với hành vi vi phạm lần đầu;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500.000 đồng đến dưới 1.000.000 đồng đối với hành vi vi phạm từ lần thứ hai trở đi.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2. Phạt tiền từ 1.000.000 đồng đến 3.000.000 đồng đối với hành vi không lập chứng từ khi thu phí, lệ phí, trừ trường hợp thu phí, lệ phí theo quy định không phải lập chứng từ.</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đối với hành vi lập chứng từ có số tiền ghi trong chứng từ chênh lệch giữa các liên của mỗi số chứng từ như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từ 500.000 đồng đến dưới 1.000.000 đồng đối với mỗi số chứng từ có giá trị chênh lệch dưới 1.000.000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1.000.000 đồng đến dưới 3.000.000 đồng đối với mỗi số chứng từ có giá trị chênh lệch từ 1.000.000 đồng đến dưới 5.000.000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Phạt tiền từ 3.000.000 đồng đến dưới 5.000.000 đồng đối với mỗi số chứng từ có giá trị chênh lệch từ 5.000.000 đồng đến dưới 10.000.000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Phạt tiền từ 5.000.000 đồng đến dưới 10.000.000 đồng đối với mỗi số chứng từ có giá trị chênh lệch từ 10.000.000 đồng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đối với hành vi lập chứng từ khống như sau: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từ 1.000.000 đồng đến dưới 2.000.000 đồng đối với mỗi số chứng từ có giá trị dưới 2.000.000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2.000.000 đồng đến dưới 4.000.000 đồng đối với mỗi số chứng từ có giá trị từ 2.000.000 đến dưới 5.000.000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Phạt tiền từ 4.000.000 đồng đến dưới 8.000.000 đồng đối với mỗi số chứng từ có giá trị từ 5.000.000 đồng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1.000.000 đồng đến dưới 2.000.000 đồng cho mỗi số chứng từ đối với hành vi sử dụng chứng từ đã hết giá trị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Phạt tiền từ 2.000.000 đồng đến dưới 4.000.000 đồng cho mỗi số chứng từ đối với hành vi tẩy xóa, sửa chữa nội dung các chỉ tiêu của chứng từ đã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Phạt tiền từ 4.000.000 đồng đến 8.000.000 đồng cho mỗi số chứng từ đối với hành vi sử dụng chứng từ giả.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8. Biện pháp khắc phục hậu quả: Buộc nộp vào ngân sách nhà nước toàn bộ số tiền có được do hành vi vi phạm quy định tại Khoản 1, Khoản 2, Khoản 3, Khoản 4, Khoản 5, Khoản 6 và Khoản 7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6" w:name="dieu_31"/>
      <w:r w:rsidRPr="004C31AB">
        <w:rPr>
          <w:rFonts w:eastAsia="Times New Roman" w:cs="Times New Roman"/>
          <w:b/>
          <w:bCs/>
          <w:szCs w:val="24"/>
          <w:lang w:eastAsia="vi-VN"/>
        </w:rPr>
        <w:t>Điều 31. Hành vi vi phạm quy định về quản lý chứng từ thu phí, lệ phí</w:t>
      </w:r>
      <w:bookmarkEnd w:id="36"/>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cảnh cáo đối với hành vi thực hiện báo cáo sử dụng, thanh toán, quyết toán sử dụng chứng từ chậm; lưu trữ, bảo quản chứng từ không đúng quy định; áp dụng trong trường hợp vi phạm lần đầu.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2. Phạt tiền từ 100.000 đồng đến 500.000 đồng đối với hành vi thực hiện báo cáo sử dụng, thanh toán, quyết toán sử dụng chứng từ chậm; lưu trữ, bảo quản chứng từ không đúng quy định; áp dụng trong trường hợp vi phạm từ lần thứ hai trở đi.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500.000 đồng đến 1.000.000 đồng đối với hành vi không báo cáo sử dụng, thanh toán, quyết toán sử dụng chứng từ.</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1.000.000 đồng đến 2.000.000 đồng đối với hành vi nhận chứng từ không đúng quy định cho mỗi số chứng từ sử dụng. Mức phạt tối đa là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7" w:name="dieu_32"/>
      <w:r w:rsidRPr="004C31AB">
        <w:rPr>
          <w:rFonts w:eastAsia="Times New Roman" w:cs="Times New Roman"/>
          <w:b/>
          <w:bCs/>
          <w:szCs w:val="24"/>
          <w:lang w:eastAsia="vi-VN"/>
        </w:rPr>
        <w:t>Điều 32. Hành vi làm mất, cho, bán chứng từ thu phí, lệ phí</w:t>
      </w:r>
      <w:bookmarkEnd w:id="37"/>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cảnh cáo đối với hành vi làm mất các liên của mỗi số chứng từ, trừ liên giao cho người nộp tiền của chứng từ chưa sử dụng, áp dụng trong trường hợp vi phạm lần đầu.</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100.000 đồng đến 300.000 đồng đối với hành vi làm mất các liên của mỗi số chứng từ, trừ liên giao cho người nộp tiền của chứng từ chưa sử dụng, áp dụng trong trường hợp vi phạm từ lần thứ hai trở đi.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300.000 đồng đến 500.000 đồng đối với hành vi làm mất liên giao cho người nộp tiền của mỗi số chứng từ chưa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Trường hợp cho, bán chứng từ phát hiện đã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từ 1.000.000 đồng đến dưới 2.000.000 đồng đối với mỗi số chứng từ có số tiền ghi trong chứng từ dưới 2.000.000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từ 2.000.000 đồng đến dưới 4.000.000 đồng đối với mỗi số chứng từ có số tiền ghi trong chứng từ từ 2.000.000 đến dưới 5.000.000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Phạt tiền từ 4.000.000 đồng đến dưới 8.000.000 đồng đối với mỗi số chứng từ có số tiền ghi trong chứng từ từ 5.000.000 đồng trở lên.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Trường hợp cho, bán chứng từ chưa sử dụng thì xử phạt theo mức quy định tại Khoản 1 và Khoản 2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Biện pháp khắc phục hậu quả: Buộc nộp vào ngân sách nhà nước toàn bộ số tiền có được do hành vi vi phạm quy định tại Khoản 1, Khoản 2, Khoản 3, Khoản 4 và Khoản 5 Điều này.</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8" w:name="chuong_4"/>
      <w:r w:rsidRPr="004C31AB">
        <w:rPr>
          <w:rFonts w:eastAsia="Times New Roman" w:cs="Times New Roman"/>
          <w:b/>
          <w:bCs/>
          <w:szCs w:val="24"/>
          <w:lang w:eastAsia="vi-VN"/>
        </w:rPr>
        <w:t>Chương 4.</w:t>
      </w:r>
      <w:bookmarkEnd w:id="38"/>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39" w:name="chuong_4_name"/>
      <w:r w:rsidRPr="004C31AB">
        <w:rPr>
          <w:rFonts w:eastAsia="Times New Roman" w:cs="Times New Roman"/>
          <w:b/>
          <w:bCs/>
          <w:szCs w:val="24"/>
          <w:lang w:eastAsia="vi-VN"/>
        </w:rPr>
        <w:t>HÀNH VI VI PHẠM HÀNH CHÍNH, HÌNH THỨC XỬ PHẠT, BIỆN PHÁP KHẮC PHỤC HẬU QUẢ TRONG LĨNH VỰC QUẢN LÝ HÓA ĐƠN</w:t>
      </w:r>
      <w:bookmarkEnd w:id="39"/>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0" w:name="dieu_33"/>
      <w:r w:rsidRPr="004C31AB">
        <w:rPr>
          <w:rFonts w:eastAsia="Times New Roman" w:cs="Times New Roman"/>
          <w:b/>
          <w:bCs/>
          <w:szCs w:val="24"/>
          <w:lang w:eastAsia="vi-VN"/>
        </w:rPr>
        <w:t>Điều 33. Hành vi vi phạm quy định về tự in hóa đơn và khởi tạo hóa đơn điện tử</w:t>
      </w:r>
      <w:bookmarkEnd w:id="40"/>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4.000.000 đồng đối với hành vi tự in hóa đơn, khởi tạo hóa đơn điện tử không đủ nội dung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4.000.000 đồng đến 8.000.000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a) Tự in hóa đơn hoặc khởi tạo hóa đơn điện tử khi không đủ các điều kiện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Cung cấp phần mềm tự in hóa đơn không đảm bảo nguyên tắc theo quy định hoặc hóa đơn khi in ra không đáp ứng đủ nội dung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20.000.000 đồng đến 50.000.000 đồng đối với hành vi tự in hóa đơn giả (trừ trường hợp xác định do lỗi khách quan của phần mềm tự in hóa đơn) và hành vi khởi tạo hóa đơn điện tử giả.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Hình thức xử phạt bổ sung: Tổ chức, cá nhân vi phạm quy định tại Khoản 3 Điều này bị phạt đình chỉ quyền tự in hóa đơn, quyền khởi tạo hóa đơn điện tử từ 01 tháng đến 03 tháng kể từ ngày quyết định xử phạt có hiệu lực thi hành.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Biện pháp khắc phục hậu quả: Tổ chức, cá nhân vi phạm quy định tại Khoản 1, Điểm a Khoản 2 và Khoản 3 Điều này buộc phải hủy các hóa đơn được in hoặc khởi tạo không đúng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1" w:name="dieu_34"/>
      <w:r w:rsidRPr="004C31AB">
        <w:rPr>
          <w:rFonts w:eastAsia="Times New Roman" w:cs="Times New Roman"/>
          <w:b/>
          <w:bCs/>
          <w:szCs w:val="24"/>
          <w:lang w:eastAsia="vi-VN"/>
        </w:rPr>
        <w:t>Điều 34. Hành vi vi phạm quy định về đặt in hóa đơn</w:t>
      </w:r>
      <w:bookmarkEnd w:id="41"/>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4.000.000 đồng đối với hành vi đặt in hóa đơn mà không ký hợp đồng in bằng văn bản.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4.000.000 đồng đến 8.000.000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thanh lý hợp đồng in nếu quá thời hạn thanh lý hợp đồng quy định trong hợp đồng đặt in hóa đơn hoặc thời điểm kết thúc hợp đồng khi đã lập tờ Thông báo phát hành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hủy hóa đơn đặt in chưa phát hành nhưng không còn sử dụng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6.000.000 đồng đến 18.000.000 đồng đối với hành vi không khai báo đúng quy định việc mất hóa đơn trước khi thông báo phát hành.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15.000.000 đồng đến 45.000.000 đồng đối với hành vi cho, bán hóa đơn đặt in chưa phát hành cho tổ chức, cá nhân khác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20.000.000 đồng đến 50.000.000 đồng đối với hành vi đặt in hóa đơn giả.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Biện pháp khắc phục hậu quả: Tổ chức, cá nhân vi phạm quy định tại Khoản 4 và Khoản 5 Điều này phải hủy các hóa đơn đặt in không đúng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2" w:name="dieu_35"/>
      <w:r w:rsidRPr="004C31AB">
        <w:rPr>
          <w:rFonts w:eastAsia="Times New Roman" w:cs="Times New Roman"/>
          <w:b/>
          <w:bCs/>
          <w:szCs w:val="24"/>
          <w:lang w:eastAsia="vi-VN"/>
        </w:rPr>
        <w:t>Điều 35. Hành vi vi phạm quy định về in hóa đơn đặt in</w:t>
      </w:r>
      <w:bookmarkEnd w:id="42"/>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4.000.000 đồng đối với hành vi vi phạm chế độ báo cáo việc in hóa đơn theo quy định của Bộ Tài chính.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4.000.000 đồng đến 8.000.000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Không thanh lý hợp đồng in nếu quá thời hạn thanh lý hợp đồng quy định trong hợp đồng đặt in hóa đơn hoặc thời điểm kết thúc hợp đồng khi bên đặt in đã hoàn thành thủ tục thông báo phát hành;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b) Không hủy các sản phẩm in hỏng, in thừa khi tiến hành thanh lý hợp đồng in.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6.000.000 đồng đến 18.000.000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Nhận in hóa đơn đặt in khi không đáp ứng đủ điều kiện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khai báo việc làm mất hóa đơn trong khi in, trước khi giao cho khách hàng.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10.000.000 đồng đến 20.000.000 đồng đối với hành vi chuyển nhượng toàn bộ hoặc một khâu bất kỳ trong hợp đồng in hóa đơn cho cơ sở in khác.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15.000.000 đồng đến 45.000.000 đồng đối với hành vi cho, bán hóa đơn đặt in của khách hàng này cho khách hàng khác.</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Phạt tiền từ 20.000.000 đồng đến 50.000.000 đồng đối với hành vi in hóa đơn giả.</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Hình thức xử phạt bổ sung: Tổ chức, cá nhân vi phạm quy định tại khoản 6 Điều này còn bị đình chỉ in hóa đơn từ 01 tháng đến 03 tháng kể từ ngày quyết định xử phạt có hiệu lực thi hành.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8. Biện pháp khắc phục hậu quả: Tổ chức, cá nhân vi phạm quy định tại Khoản 5 và Khoản 6 Điều này phải hủy các hóa đơn cho bán hoặc hóa đơn giả.</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3" w:name="dieu_36"/>
      <w:r w:rsidRPr="004C31AB">
        <w:rPr>
          <w:rFonts w:eastAsia="Times New Roman" w:cs="Times New Roman"/>
          <w:b/>
          <w:bCs/>
          <w:szCs w:val="24"/>
          <w:lang w:eastAsia="vi-VN"/>
        </w:rPr>
        <w:t>Điều 36. Hành vi vi phạm quy định về mua hóa đơn</w:t>
      </w:r>
      <w:bookmarkEnd w:id="43"/>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4.000.000 đồng đối với hành vi không hủy hóa đơn được mua đã hết hạn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6.000.000 đồng đến 8.000.000 đồng đối với hành vi không khai báo việc làm mất hóa đơn đã mua nhưng chưa lập.</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20.000.000 đồng đến 50.000.000 đồng đối với hành vi cho, bán hóa đơn đã mua nhưng chưa lập.</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Biện pháp khắc phục hậu quả: Tổ chức, cá nhân vi phạm Khoản 1 và Khoản 3 Điều này buộc phải hủy hóa đơn được mua đã hết hạn sử dụng; hóa đơn đã mua và chưa lập.</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4" w:name="dieu_37"/>
      <w:r w:rsidRPr="004C31AB">
        <w:rPr>
          <w:rFonts w:eastAsia="Times New Roman" w:cs="Times New Roman"/>
          <w:b/>
          <w:bCs/>
          <w:szCs w:val="24"/>
          <w:lang w:eastAsia="vi-VN"/>
        </w:rPr>
        <w:t>Điều 37. Hành vi vi phạm quy định về phát hành hóa đơn</w:t>
      </w:r>
      <w:bookmarkEnd w:id="44"/>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4.000.000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Lập Thông báo phát hành hóa đơn không đầy đủ nội dung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niêm yết Thông báo phát hành hóa đơn theo đúng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6.000.000 đồng đến 18.000.000 đồng đối với hành vi không lập Thông báo phát hành hóa đơn trước khi hóa đơn được đưa vào sử dụng nếu các hóa đơn này gắn với nghiệp vụ kinh tế phát sinh đã được kê khai, nộp thuế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3. Biện pháp khắc phục hậu quả: Tổ chức, cá nhân vi phạm quy định tại Điều này phải thực hiện thủ tục phát hành hóa đơn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5" w:name="dieu_38"/>
      <w:r w:rsidRPr="004C31AB">
        <w:rPr>
          <w:rFonts w:eastAsia="Times New Roman" w:cs="Times New Roman"/>
          <w:b/>
          <w:bCs/>
          <w:szCs w:val="24"/>
          <w:lang w:eastAsia="vi-VN"/>
        </w:rPr>
        <w:t>Điều 38. Hành vi vi phạm quy định về sử dụng hóa đơn khi bán hàng hóa, dịch vụ</w:t>
      </w:r>
      <w:bookmarkEnd w:id="45"/>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 đồng đến 1.000.000 đồng đối với hành vi không lập đủ các nội dung bắt buộc trên hóa đơn theo quy định, trừ các trường hợp hóa đơn không nhất thiết phải lập đầy đủ các nội dung theo hướng dẫn của Bộ Tài chính.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2.000.000 đồng đến 4.000.000 đồng với hành vi không hủy hoặc hủy không đúng quy định các hóa đơn đã phát hành nhưng chưa lập, không còn giá trị sử dụng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4.000.000 đồng đến 8.000.000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Lập hóa đơn không đúng thời điểm theo quy định của pháp luật về hóa đơn bán hàng hóa, cung ứng dịch vụ;</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Lập hóa đơn không theo thứ tự từ số nhỏ đến số lớn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Ngày ghi trên hóa đơn đã lập xảy ra trước ngày mua hóa đơn của cơ quan thuế;</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d) Lập hóa đơn nhưng không giao cho người mua, trừ trường hợp trên hóa đơn ghi rõ người mua không lấy hóa đơn hoặc hóa đơn được lập theo bảng kê;</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đ) Không lập bảng kê hoặc không lập hóa đơn tổng hợp theo quy định của pháp luật về hóa đơn bán hàng hóa, cung ứng dịch vụ;</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e) Lập sai loại hóa đơn theo quy định của pháp luật về hóa đơn bán hàng hóa, cung ứng dịch vụ và đã giao cho người mua hoặc đã kê khai thuế.</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Phạt tiền từ 10.000.000 đồng đến 20.000.000 đồng đối với một trong các hành vi:</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Làm mất, cháy, hỏng hóa đơn đã phát hành nhưng chưa lập hoặc hóa đơn đã lập (liên giao cho khách hàng) nhưng khách hàng chưa nhận được hóa đơn, trừ trường hợp mất, cháy, hỏng hóa đơn do thiên tai, hỏa hoạn. Trường hợp mất, cháy, hỏng hóa đơn, trừ liên giao cho khách hàng, trong thời gian lưu trữ thì xử phạt theo pháp luật về kế toán.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Trường hợp người bán tìm lại được hóa đơn đã mất (liên giao cho khách hàng) khi cơ quan thuế chưa ban hành quyết định xử phạt thì người bán không bị phạt tiền.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Không lập hóa đơn khi bán hàng hóa, dịch vụ có giá trị thanh toán từ 200.000 đồng trở lên cho người mua theo quy định. Cùng với việc bị xử phạt, tổ chức, cá nhân kinh doanh phải lập hóa đơn giao cho người mua.</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Phạt tiền từ 20.000.000 đồng đến 50.000.000 đồng đối với hành vi sử dụng hóa đơn bất hợp pháp (trừ hành vi vi phạm quy định tại Khoản 2 Điều 37 Nghị định này) và hành vi sử dụng bất hợp pháp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6. Biện pháp khắc phục hậu quả: Tổ chức, cá nhân vi phạm quy định tại Khoản 2 Điều này còn phải hủy hóa đơn đã phát hành nhưng chưa lập, không còn giá trị sử dụng.</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6" w:name="dieu_39"/>
      <w:r w:rsidRPr="004C31AB">
        <w:rPr>
          <w:rFonts w:eastAsia="Times New Roman" w:cs="Times New Roman"/>
          <w:b/>
          <w:bCs/>
          <w:szCs w:val="24"/>
          <w:lang w:eastAsia="vi-VN"/>
        </w:rPr>
        <w:t>Điều 39. Hành vi vi phạm quy định về sử dụng hóa đơn của người mua</w:t>
      </w:r>
      <w:bookmarkEnd w:id="46"/>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2.000.000 đồng đến 4.000.000 đồng đối với hành vi làm mất, cháy, hỏng hóa đơn đã lập (liên giao cho người mua) để hạch toán kế toán, kê khai thuế và thanh toán vốn ngân sách, trừ trường hợp mất, cháy, hỏng hóa đơn do thiên tai, hỏa hoạn.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Trường hợp người mua tìm lại được hóa đơn đã mất khi cơ quan thuế chưa ban hành quyết định xử phạt thì người mua không bị phạt tiền.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20.000.000 đồng đến 50.000.000 đồng đối với hành vi sử dụng hóa đơn bất hợp pháp và hành vi sử dụng bất hợp pháp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7" w:name="dieu_40"/>
      <w:r w:rsidRPr="004C31AB">
        <w:rPr>
          <w:rFonts w:eastAsia="Times New Roman" w:cs="Times New Roman"/>
          <w:b/>
          <w:bCs/>
          <w:szCs w:val="24"/>
          <w:lang w:eastAsia="vi-VN"/>
        </w:rPr>
        <w:t>Điều 40. Hành vi quy định về lập, gửi thông báo và báo cáo (trừ thông báo phát hành hóa đơn) cho cơ quan thuế</w:t>
      </w:r>
      <w:bookmarkEnd w:id="47"/>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Phạt tiền từ 200.000 đồng đến 1.000.000 đồng đối với hành vi lập sai hoặc không đầy đủ nội dung của thông báo, báo cáo gửi cơ quan thuế, trừ thông báo phát hành hóa đơn,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Ngoài bị phạt tiền, tổ chức, cá nhân phải lập và gửi lại cơ quan thuế thông báo, báo cáo đúng quy định. Trường hợp tổ chức, cá nhân phát hiện sai sót và lập lại thông báo, báo cáo thay thế đúng quy định gửi cơ quan thuế trong thời hạn quy định nộp thông báo, báo cáo thì không bị phạt tiền.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Phạt tiền từ 2.000.000 đồng đến 4.000.000 đồng đối với hành vi nộp thông báo, báo cáo gửi cơ quan thuế, trừ thông báo phát hành hóa đơn, chậm sau 10 ngày kể từ ngày hết thời hạn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8" w:name="chuong_5"/>
      <w:r w:rsidRPr="004C31AB">
        <w:rPr>
          <w:rFonts w:eastAsia="Times New Roman" w:cs="Times New Roman"/>
          <w:b/>
          <w:bCs/>
          <w:szCs w:val="24"/>
          <w:lang w:eastAsia="vi-VN"/>
        </w:rPr>
        <w:t>Chương 5.</w:t>
      </w:r>
      <w:bookmarkEnd w:id="48"/>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49" w:name="chuong_5_name"/>
      <w:r w:rsidRPr="004C31AB">
        <w:rPr>
          <w:rFonts w:eastAsia="Times New Roman" w:cs="Times New Roman"/>
          <w:b/>
          <w:bCs/>
          <w:szCs w:val="24"/>
          <w:lang w:eastAsia="vi-VN"/>
        </w:rPr>
        <w:t>THẨM QUYỀN LẬP BIÊN BẢN VÀ XỬ PHẠT VI PHẠM HÀNH CHÍNH</w:t>
      </w:r>
      <w:bookmarkEnd w:id="49"/>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50" w:name="dieu_41"/>
      <w:r w:rsidRPr="004C31AB">
        <w:rPr>
          <w:rFonts w:eastAsia="Times New Roman" w:cs="Times New Roman"/>
          <w:b/>
          <w:bCs/>
          <w:szCs w:val="24"/>
          <w:lang w:eastAsia="vi-VN"/>
        </w:rPr>
        <w:t>Điều 41. Thẩm quyền lập biên bản vi phạm hành chính</w:t>
      </w:r>
      <w:bookmarkEnd w:id="50"/>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Người có thẩm quyền lập biên bản quy định tại Điều này có quyền lập biên bản hành chính về những vi phạm hành chính thuộc phạm vi thi hành công vụ, nhiệm vụ được giao theo mẫu quy định và chịu trách nhiệm về việc lập biên bản.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Những người sau đây có thẩm quyền lập biên bản vi phạm hành chính: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Người có thẩm quyền xử phạt vi phạm hành chính quy định tại Nghị định này khi đang thi hành công vụ.</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b) Công chức khi đang thực hiện nhiệm vụ quản lý nhà nước trong lĩnh vực quản lý giá, quản lý thị trường, phí, lệ phí, hóa đơn.</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51" w:name="dieu_42"/>
      <w:r w:rsidRPr="004C31AB">
        <w:rPr>
          <w:rFonts w:eastAsia="Times New Roman" w:cs="Times New Roman"/>
          <w:b/>
          <w:bCs/>
          <w:szCs w:val="24"/>
          <w:lang w:eastAsia="vi-VN"/>
        </w:rPr>
        <w:t>Điều 42. Thẩm quyền xử phạt vi phạm hành chính trong lĩnh vực quản lý giá</w:t>
      </w:r>
      <w:bookmarkEnd w:id="51"/>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Chánh Thanh tra Bộ Tài chính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đến mức cao nhất đối với các hành vi vi phạm trong lĩnh vực giá theo quy định của Nghị định này và quy định của pháp luật có liên quan;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Áp dụng hình thức xử phạt bổ sung và biện pháp khắc phục hậu quả quy định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Trưởng đoàn thanh tra chuyên ngành giá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đến 200.000.000 đồng đối với các hành vi vi phạm trong lĩnh vực quản lý giá theo quy định của Nghị định này và quy định của pháp luật có liên quan;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Áp dụng hình thức xử phạt bổ sung và biện pháp khắc phục hậu quả quy định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Chánh Thanh tra Sở Tài chính có thẩm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tiền đến 50.000.000 đồng đối với các hành vi vi phạm trong lĩnh vực giá quy định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Áp dụng hình thức xử phạt bổ sung và biện pháp khắc phục hậu quả về giá quy định tại Nghị định này theo quy định hiện hành của pháp luật.</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Thanh tra viên, Chánh Thanh tra bộ, cơ quan ngang bộ và các chức danh tương đương có thẩm quyền xử phạt đối với hành vi vi phạm hành chính về giá thuộc lĩnh vực quản lý nhà nước của bộ, cơ quan ngang bộ.</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Người có thẩm quyền của cơ quan quản lý thị trường quy định tại Điều 45 Luật xử lý vi phạm hành chính có thẩm quyền xử phạt hành chính đối với các hành vi vi phạm quy định tại Điều 5, Điều 8, Điều 10, Điều 12, Điều 13, Điều 14, Điều 16 và Điều 17 Nghị định này có quyền áp dụng các hình thức xử phạt bổ sung và biện pháp khắc phục hậu quả đối với các hành vi vi phạm hành chính quy định tại Nghị định này thuộc địa bàn quản lý của mình.</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Chủ tịch Ủy ban nhân dân cấp tỉnh trong phạm vi thẩm quyền của mình quy định tại Luật xử lý vi phạm hành chính có thẩm quyền xử phạt vi phạm hành chính về giá theo quy định tại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Chủ tịch Ủy ban nhân dân cấp huyện, cấp xã trong phạm vi thẩm quyền của mình quy định tại Luật xử lý vi phạm hành chính có thẩm quyền xử phạt vi phạm hành chính về giá quy định tại Điều 12 Nghị định này tại địa bàn thuộc quyền quản lý hành chính cấp huyện, cấp xã.</w:t>
      </w:r>
    </w:p>
    <w:p w:rsidR="004C31AB" w:rsidRPr="004C31AB" w:rsidRDefault="004C31AB" w:rsidP="004C31AB">
      <w:pPr>
        <w:spacing w:before="120" w:after="100" w:afterAutospacing="1" w:line="240" w:lineRule="auto"/>
        <w:jc w:val="both"/>
        <w:rPr>
          <w:rFonts w:eastAsia="Times New Roman" w:cs="Times New Roman"/>
          <w:szCs w:val="24"/>
          <w:lang w:eastAsia="vi-VN"/>
        </w:rPr>
      </w:pPr>
      <w:bookmarkStart w:id="52" w:name="dieu_43"/>
      <w:r w:rsidRPr="004C31AB">
        <w:rPr>
          <w:rFonts w:eastAsia="Times New Roman" w:cs="Times New Roman"/>
          <w:b/>
          <w:bCs/>
          <w:szCs w:val="24"/>
          <w:lang w:eastAsia="vi-VN"/>
        </w:rPr>
        <w:t>Điều 43. Thẩm quyền xử phạt vi phạm hành chính trong lĩnh vực quản lý phí, lệ phí</w:t>
      </w:r>
      <w:bookmarkEnd w:id="52"/>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 Chủ tịch Ủy ban nhân dân cấp xã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5.000.000 triệu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Khoản 3 Điều 25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2. Chủ tịch Ủy ban nhân dân cấp huyện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25.000.000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3. Chủ tịch Ủy ban nhân dân cấp tỉnh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4. Công chức Thuế đang thi hành công vụ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5. Đội trưởng Đội Thuế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2.500.000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6. Chi cục trưởng Chi cục Thuế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25.000.000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7. Cục trưởng Cục Thuế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lastRenderedPageBreak/>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8. Tổng cục trưởng Tổng cục Thuế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9. Thanh tra viên, người được giao thực hiện nhiệm vụ thanh tra chuyên ngành đang thi hành công vụ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Khoản 2 Điều 25.</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10. Chánh Thanh tra sở và các chức danh tương đương được Chính phủ giao thực hiện chức năng thanh tra chuyên ngành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25.000.000 triệu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11. Chánh Thanh tra bộ, cơ quan ngang bộ và các chức danh tương đương được Chính phủ giao thực hiện chức năng thanh tra chuyên ngành có quyền:</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b) Phạt tiền đến 50.000.000 triệu đồng;</w:t>
      </w:r>
    </w:p>
    <w:p w:rsidR="004C31AB" w:rsidRPr="004C31AB" w:rsidRDefault="004C31AB" w:rsidP="004C31AB">
      <w:pPr>
        <w:spacing w:before="120" w:after="100" w:afterAutospacing="1" w:line="240" w:lineRule="auto"/>
        <w:jc w:val="both"/>
        <w:rPr>
          <w:rFonts w:eastAsia="Times New Roman" w:cs="Times New Roman"/>
          <w:szCs w:val="24"/>
          <w:lang w:eastAsia="vi-VN"/>
        </w:rPr>
      </w:pPr>
      <w:r w:rsidRPr="004C31AB">
        <w:rPr>
          <w:rFonts w:eastAsia="Times New Roman" w:cs="Times New Roman"/>
          <w:szCs w:val="24"/>
          <w:lang w:eastAsia="vi-VN"/>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lastRenderedPageBreak/>
        <w:t>Ngoài những người có thẩm quyền xử phạt vi phạm hành chính quy định tại Nghị định này, những người có thẩm quyền xử phạt vi phạm hành chính của các cơ quan khác theo quy định của Luật xử lý vi phạm hành chính trong phạm vi chức năng, nhiệm vụ được giao mà phát hiện hành vi vi phạm hành chính quy định trong Nghị định này thuộc lĩnh vực do mình quản lý thì có quyền xử phạt theo quy định tại Luật xử lý vi phạm hành chính.</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bookmarkStart w:id="53" w:name="dieu_44"/>
      <w:r w:rsidRPr="004C31AB">
        <w:rPr>
          <w:rFonts w:eastAsia="Times New Roman" w:cs="Times New Roman"/>
          <w:b/>
          <w:bCs/>
          <w:szCs w:val="24"/>
          <w:lang w:val="en-US" w:eastAsia="vi-VN"/>
        </w:rPr>
        <w:t>Điều 44. Thẩm quyền xử phạt vi phạm hành chính trong lĩnh vực quản lý hóa đơn</w:t>
      </w:r>
      <w:bookmarkEnd w:id="53"/>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1. Công chức Thuế đang thi hành công vụ có quyền:</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b) Phạt tiền đến 500.000 đồng.</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2. Đội trưởng Đội Thuế có quyền:</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b) Phạt tiền đến 2.500.000 đồng.</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3. Chi cục trưởng Chi cục Thuế có quyền:</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b) Phạt tiền đến 25.000.000 đồng;</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c) Áp dụng biện pháp khắc phục hậu quả quy định tại Khoản 5 Điều 33, Khoản 6 Điều 34, Khoản 8 Điều 35, Khoản 4 Điều 36, Khoản 3 Điều 37 và Khoản 6 Điều 38 của Nghị định này.</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4. Cục trưởng Cục Thuế có quyền:</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a) Phạt cảnh cáo;</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b) Phạt tiền đến 70.000.000 đồng;</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c) Áp dụng biện pháp khắc phục hậu quả quy định tại Khoản 5 Điều 33, Khoản 6 Điều 34, Khoản 8 Điều 35, Khoản 4 Điều 36, Khoản 3 Điều 37 và Khoản 6 Điều 38 của Nghị định này.</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5. Hàng hóa vận chuyển trên đường không có hóa đơn, chứng từ hợp pháp khi cơ quan có thẩm quyền kiểm tra, phát hiện hành vi vi phạm thì ngoài việc bị xử phạt vi phạm hành chính về hóa đơn theo quy định tại Nghị định này, người nộp thuế còn bị xử phạt về hành vi trốn thuế theo quy định của Luật quản lý thuế và các văn bản hướng dẫn thi hành.</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6. Trường hợp hành vi vi phạm hành chính về hóa đơn có dấu hiệu tội phạm thì người có thẩm quyền xử phạt vi phạm hành chính trong lĩnh vực hóa đơn phải chuyển ngay hồ sơ cho cơ quan tiến hành tố tụng hình sự có thẩm quyền để xử lý theo quy định của pháp luật.</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bookmarkStart w:id="54" w:name="chuong_6"/>
      <w:r w:rsidRPr="004C31AB">
        <w:rPr>
          <w:rFonts w:eastAsia="Times New Roman" w:cs="Times New Roman"/>
          <w:b/>
          <w:bCs/>
          <w:szCs w:val="24"/>
          <w:lang w:val="en-US" w:eastAsia="vi-VN"/>
        </w:rPr>
        <w:t>Chương 6.</w:t>
      </w:r>
      <w:bookmarkEnd w:id="54"/>
    </w:p>
    <w:p w:rsidR="004C31AB" w:rsidRPr="004C31AB" w:rsidRDefault="004C31AB" w:rsidP="004C31AB">
      <w:pPr>
        <w:spacing w:before="120" w:after="100" w:afterAutospacing="1" w:line="240" w:lineRule="auto"/>
        <w:jc w:val="both"/>
        <w:rPr>
          <w:rFonts w:eastAsia="Times New Roman" w:cs="Times New Roman"/>
          <w:szCs w:val="24"/>
          <w:lang w:val="en-US" w:eastAsia="vi-VN"/>
        </w:rPr>
      </w:pPr>
      <w:bookmarkStart w:id="55" w:name="chuong_6_name"/>
      <w:r w:rsidRPr="004C31AB">
        <w:rPr>
          <w:rFonts w:eastAsia="Times New Roman" w:cs="Times New Roman"/>
          <w:b/>
          <w:bCs/>
          <w:szCs w:val="24"/>
          <w:lang w:val="en-US" w:eastAsia="vi-VN"/>
        </w:rPr>
        <w:t>ĐIỀU KHOẢN THI HÀNH</w:t>
      </w:r>
      <w:bookmarkEnd w:id="55"/>
    </w:p>
    <w:p w:rsidR="004C31AB" w:rsidRPr="004C31AB" w:rsidRDefault="004C31AB" w:rsidP="004C31AB">
      <w:pPr>
        <w:spacing w:before="120" w:after="100" w:afterAutospacing="1" w:line="240" w:lineRule="auto"/>
        <w:jc w:val="both"/>
        <w:rPr>
          <w:rFonts w:eastAsia="Times New Roman" w:cs="Times New Roman"/>
          <w:szCs w:val="24"/>
          <w:lang w:val="en-US" w:eastAsia="vi-VN"/>
        </w:rPr>
      </w:pPr>
      <w:bookmarkStart w:id="56" w:name="dieu_45"/>
      <w:r w:rsidRPr="004C31AB">
        <w:rPr>
          <w:rFonts w:eastAsia="Times New Roman" w:cs="Times New Roman"/>
          <w:b/>
          <w:bCs/>
          <w:szCs w:val="24"/>
          <w:lang w:val="en-US" w:eastAsia="vi-VN"/>
        </w:rPr>
        <w:lastRenderedPageBreak/>
        <w:t>Điều 45. Hiệu lực thi hành</w:t>
      </w:r>
      <w:bookmarkEnd w:id="56"/>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1. Nghị định này có hiệu lực thi hành kể từ ngày 09 tháng 11 năm 2013 và thay thế Nghị định số 106/2003/NĐ-CP ngày 23 tháng 9 năm 2003 của Chính phủ về xử phạt vi phạm hành chính trong lĩnh vực phí, lệ phí; Nghị định số 84/2011/NĐ-CP ngày 20 tháng 9 năm 2011 của Chính phủ quy định về xử phạt vi phạm hành chính trong lĩnh vực giá và Chương V Nghị định số 51/2010/NĐ-CP ngày 14 tháng 5 năm 2010 của Chính phủ quy định về hóa đơn bán hàng hóa, cung ứng dịch vụ.</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2. Các quy định khác về xử phạt vi phạm hành chính trong lĩnh vực quản lý nhà nước về giá, phí, lệ phí, hóa đơn không nêu tại Nghị định được thực hiện theo quy định của Luật xử lý vi phạm hành chính.</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bookmarkStart w:id="57" w:name="dieu_46"/>
      <w:r w:rsidRPr="004C31AB">
        <w:rPr>
          <w:rFonts w:eastAsia="Times New Roman" w:cs="Times New Roman"/>
          <w:b/>
          <w:bCs/>
          <w:szCs w:val="24"/>
          <w:lang w:val="en-US" w:eastAsia="vi-VN"/>
        </w:rPr>
        <w:t>Điều 46. Tổ chức thực hiện</w:t>
      </w:r>
      <w:bookmarkEnd w:id="57"/>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1. Bộ Tài chính hướng dẫn thi hành Nghị định này.</w:t>
      </w:r>
    </w:p>
    <w:p w:rsidR="004C31AB" w:rsidRPr="004C31AB" w:rsidRDefault="004C31AB" w:rsidP="004C31AB">
      <w:pPr>
        <w:spacing w:before="120" w:after="100" w:afterAutospacing="1" w:line="240" w:lineRule="auto"/>
        <w:jc w:val="both"/>
        <w:rPr>
          <w:rFonts w:eastAsia="Times New Roman" w:cs="Times New Roman"/>
          <w:szCs w:val="24"/>
          <w:lang w:val="en-US" w:eastAsia="vi-VN"/>
        </w:rPr>
      </w:pPr>
      <w:r w:rsidRPr="004C31AB">
        <w:rPr>
          <w:rFonts w:eastAsia="Times New Roman" w:cs="Times New Roman"/>
          <w:szCs w:val="24"/>
          <w:lang w:val="en-US" w:eastAsia="vi-VN"/>
        </w:rPr>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4C31AB" w:rsidRPr="004C31AB" w:rsidRDefault="004C31AB" w:rsidP="004C31AB">
      <w:pPr>
        <w:spacing w:before="120" w:after="100" w:afterAutospacing="1" w:line="240" w:lineRule="auto"/>
        <w:rPr>
          <w:rFonts w:eastAsia="Times New Roman" w:cs="Times New Roman"/>
          <w:szCs w:val="24"/>
          <w:lang w:val="en-US" w:eastAsia="vi-VN"/>
        </w:rPr>
      </w:pPr>
      <w:r w:rsidRPr="004C31AB">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4C31AB" w:rsidRPr="004C31AB" w:rsidTr="004C31AB">
        <w:trPr>
          <w:jc w:val="center"/>
        </w:trPr>
        <w:tc>
          <w:tcPr>
            <w:tcW w:w="4428" w:type="dxa"/>
            <w:tcMar>
              <w:top w:w="0" w:type="dxa"/>
              <w:left w:w="108" w:type="dxa"/>
              <w:bottom w:w="0" w:type="dxa"/>
              <w:right w:w="108" w:type="dxa"/>
            </w:tcMar>
            <w:hideMark/>
          </w:tcPr>
          <w:p w:rsidR="004C31AB" w:rsidRPr="004C31AB" w:rsidRDefault="004C31AB" w:rsidP="004C31AB">
            <w:pPr>
              <w:spacing w:before="120" w:after="100" w:afterAutospacing="1" w:line="240" w:lineRule="auto"/>
              <w:rPr>
                <w:rFonts w:eastAsia="Times New Roman" w:cs="Times New Roman"/>
                <w:szCs w:val="24"/>
                <w:lang w:eastAsia="vi-VN"/>
              </w:rPr>
            </w:pPr>
            <w:r w:rsidRPr="004C31AB">
              <w:rPr>
                <w:rFonts w:eastAsia="Times New Roman" w:cs="Times New Roman"/>
                <w:b/>
                <w:bCs/>
                <w:szCs w:val="24"/>
                <w:lang w:eastAsia="vi-VN"/>
              </w:rPr>
              <w:t> </w:t>
            </w:r>
          </w:p>
          <w:p w:rsidR="004C31AB" w:rsidRPr="004C31AB" w:rsidRDefault="004C31AB" w:rsidP="004C31AB">
            <w:pPr>
              <w:spacing w:before="120" w:after="100" w:afterAutospacing="1" w:line="240" w:lineRule="auto"/>
              <w:rPr>
                <w:rFonts w:eastAsia="Times New Roman" w:cs="Times New Roman"/>
                <w:szCs w:val="24"/>
                <w:lang w:eastAsia="vi-VN"/>
              </w:rPr>
            </w:pPr>
            <w:r w:rsidRPr="004C31AB">
              <w:rPr>
                <w:rFonts w:eastAsia="Times New Roman" w:cs="Times New Roman"/>
                <w:b/>
                <w:bCs/>
                <w:i/>
                <w:iCs/>
                <w:szCs w:val="24"/>
                <w:lang w:eastAsia="vi-VN"/>
              </w:rPr>
              <w:t>Nơi nhận:</w:t>
            </w:r>
            <w:r w:rsidRPr="004C31AB">
              <w:rPr>
                <w:rFonts w:eastAsia="Times New Roman" w:cs="Times New Roman"/>
                <w:szCs w:val="24"/>
                <w:lang w:eastAsia="vi-VN"/>
              </w:rPr>
              <w:br/>
            </w:r>
            <w:r w:rsidRPr="004C31AB">
              <w:rPr>
                <w:rFonts w:eastAsia="Times New Roman" w:cs="Times New Roman"/>
                <w:sz w:val="16"/>
                <w:szCs w:val="16"/>
                <w:lang w:eastAsia="vi-VN"/>
              </w:rPr>
              <w:t>- Ban Bí thư Trung ương Đảng;</w:t>
            </w:r>
            <w:r w:rsidRPr="004C31AB">
              <w:rPr>
                <w:rFonts w:eastAsia="Times New Roman" w:cs="Times New Roman"/>
                <w:sz w:val="16"/>
                <w:szCs w:val="16"/>
                <w:lang w:eastAsia="vi-VN"/>
              </w:rPr>
              <w:br/>
              <w:t>- Thủ tướng, các Phó Thủ tướng Chính phủ;</w:t>
            </w:r>
            <w:r w:rsidRPr="004C31AB">
              <w:rPr>
                <w:rFonts w:eastAsia="Times New Roman" w:cs="Times New Roman"/>
                <w:sz w:val="16"/>
                <w:szCs w:val="16"/>
                <w:lang w:eastAsia="vi-VN"/>
              </w:rPr>
              <w:br/>
              <w:t>- Các Bộ, cơ quan ngang Bộ, cơ quan thuộc CP;</w:t>
            </w:r>
            <w:r w:rsidRPr="004C31AB">
              <w:rPr>
                <w:rFonts w:eastAsia="Times New Roman" w:cs="Times New Roman"/>
                <w:sz w:val="16"/>
                <w:szCs w:val="16"/>
                <w:lang w:eastAsia="vi-VN"/>
              </w:rPr>
              <w:br/>
              <w:t>- HĐND, UBND các tỉnh, TP trực thuộc TW;</w:t>
            </w:r>
            <w:r w:rsidRPr="004C31AB">
              <w:rPr>
                <w:rFonts w:eastAsia="Times New Roman" w:cs="Times New Roman"/>
                <w:sz w:val="16"/>
                <w:szCs w:val="16"/>
                <w:lang w:eastAsia="vi-VN"/>
              </w:rPr>
              <w:br/>
              <w:t>- Văn phòng TW và các Ban của Đảng;</w:t>
            </w:r>
            <w:r w:rsidRPr="004C31AB">
              <w:rPr>
                <w:rFonts w:eastAsia="Times New Roman" w:cs="Times New Roman"/>
                <w:sz w:val="16"/>
                <w:szCs w:val="16"/>
                <w:lang w:eastAsia="vi-VN"/>
              </w:rPr>
              <w:br/>
              <w:t>- Văn phòng Tổng Bí thư;</w:t>
            </w:r>
            <w:r w:rsidRPr="004C31AB">
              <w:rPr>
                <w:rFonts w:eastAsia="Times New Roman" w:cs="Times New Roman"/>
                <w:sz w:val="16"/>
                <w:szCs w:val="16"/>
                <w:lang w:eastAsia="vi-VN"/>
              </w:rPr>
              <w:br/>
              <w:t>- Văn phòng Chủ tịch nước;</w:t>
            </w:r>
            <w:r w:rsidRPr="004C31AB">
              <w:rPr>
                <w:rFonts w:eastAsia="Times New Roman" w:cs="Times New Roman"/>
                <w:sz w:val="16"/>
                <w:szCs w:val="16"/>
                <w:lang w:eastAsia="vi-VN"/>
              </w:rPr>
              <w:br/>
              <w:t>- Hội đồng Dân tộc và các Ủy ban của Quốc hội;</w:t>
            </w:r>
            <w:r w:rsidRPr="004C31AB">
              <w:rPr>
                <w:rFonts w:eastAsia="Times New Roman" w:cs="Times New Roman"/>
                <w:sz w:val="16"/>
                <w:szCs w:val="16"/>
                <w:lang w:eastAsia="vi-VN"/>
              </w:rPr>
              <w:br/>
              <w:t>- Văn phòng Quốc hội;</w:t>
            </w:r>
            <w:r w:rsidRPr="004C31AB">
              <w:rPr>
                <w:rFonts w:eastAsia="Times New Roman" w:cs="Times New Roman"/>
                <w:sz w:val="16"/>
                <w:szCs w:val="16"/>
                <w:lang w:eastAsia="vi-VN"/>
              </w:rPr>
              <w:br/>
              <w:t>- Tòa án nhân dân tối cao;</w:t>
            </w:r>
            <w:r w:rsidRPr="004C31AB">
              <w:rPr>
                <w:rFonts w:eastAsia="Times New Roman" w:cs="Times New Roman"/>
                <w:sz w:val="16"/>
                <w:szCs w:val="16"/>
                <w:lang w:eastAsia="vi-VN"/>
              </w:rPr>
              <w:br/>
              <w:t>- Viện kiểm sát nhân dân tối cao;</w:t>
            </w:r>
            <w:r w:rsidRPr="004C31AB">
              <w:rPr>
                <w:rFonts w:eastAsia="Times New Roman" w:cs="Times New Roman"/>
                <w:sz w:val="16"/>
                <w:szCs w:val="16"/>
                <w:lang w:eastAsia="vi-VN"/>
              </w:rPr>
              <w:br/>
              <w:t>- Kiểm toán Nhà nước;</w:t>
            </w:r>
            <w:r w:rsidRPr="004C31AB">
              <w:rPr>
                <w:rFonts w:eastAsia="Times New Roman" w:cs="Times New Roman"/>
                <w:sz w:val="16"/>
                <w:szCs w:val="16"/>
                <w:lang w:eastAsia="vi-VN"/>
              </w:rPr>
              <w:br/>
              <w:t>- Ủy ban Giám sát tài chính Quốc gia;</w:t>
            </w:r>
            <w:r w:rsidRPr="004C31AB">
              <w:rPr>
                <w:rFonts w:eastAsia="Times New Roman" w:cs="Times New Roman"/>
                <w:sz w:val="16"/>
                <w:szCs w:val="16"/>
                <w:lang w:eastAsia="vi-VN"/>
              </w:rPr>
              <w:br/>
              <w:t>- Ngân hàng Chính sách xã hội;</w:t>
            </w:r>
            <w:r w:rsidRPr="004C31AB">
              <w:rPr>
                <w:rFonts w:eastAsia="Times New Roman" w:cs="Times New Roman"/>
                <w:sz w:val="16"/>
                <w:szCs w:val="16"/>
                <w:lang w:eastAsia="vi-VN"/>
              </w:rPr>
              <w:br/>
              <w:t>- Ngân hàng Phát triển Việt Nam;</w:t>
            </w:r>
            <w:r w:rsidRPr="004C31AB">
              <w:rPr>
                <w:rFonts w:eastAsia="Times New Roman" w:cs="Times New Roman"/>
                <w:sz w:val="16"/>
                <w:szCs w:val="16"/>
                <w:lang w:eastAsia="vi-VN"/>
              </w:rPr>
              <w:br/>
              <w:t>- Ủy ban TW Mặt trận Tổ quốc Việt Nam;</w:t>
            </w:r>
            <w:r w:rsidRPr="004C31AB">
              <w:rPr>
                <w:rFonts w:eastAsia="Times New Roman" w:cs="Times New Roman"/>
                <w:sz w:val="16"/>
                <w:szCs w:val="16"/>
                <w:lang w:eastAsia="vi-VN"/>
              </w:rPr>
              <w:br/>
              <w:t>- Cơ quan Trung ương của các đoàn thể;</w:t>
            </w:r>
            <w:r w:rsidRPr="004C31AB">
              <w:rPr>
                <w:rFonts w:eastAsia="Times New Roman" w:cs="Times New Roman"/>
                <w:sz w:val="16"/>
                <w:szCs w:val="16"/>
                <w:lang w:eastAsia="vi-VN"/>
              </w:rPr>
              <w:br/>
              <w:t>- Ban Chỉ đạo Đổi mới và Phát triển doanh nghiệp;</w:t>
            </w:r>
            <w:r w:rsidRPr="004C31AB">
              <w:rPr>
                <w:rFonts w:eastAsia="Times New Roman" w:cs="Times New Roman"/>
                <w:sz w:val="16"/>
                <w:szCs w:val="16"/>
                <w:lang w:eastAsia="vi-VN"/>
              </w:rPr>
              <w:br/>
              <w:t>- Phòng Thương mại và Công nghiệp Việt Nam;</w:t>
            </w:r>
            <w:r w:rsidRPr="004C31AB">
              <w:rPr>
                <w:rFonts w:eastAsia="Times New Roman" w:cs="Times New Roman"/>
                <w:sz w:val="16"/>
                <w:szCs w:val="16"/>
                <w:lang w:eastAsia="vi-VN"/>
              </w:rPr>
              <w:br/>
              <w:t>- Hiệp hội doanh nghiệp nhỏ và vừa Việt Nam;</w:t>
            </w:r>
            <w:r w:rsidRPr="004C31AB">
              <w:rPr>
                <w:rFonts w:eastAsia="Times New Roman" w:cs="Times New Roman"/>
                <w:sz w:val="16"/>
                <w:szCs w:val="16"/>
                <w:lang w:eastAsia="vi-VN"/>
              </w:rPr>
              <w:br/>
              <w:t>- VPCP: BTCN, các PCN, Trợ lý TTCP, Cổng TTĐT, các Vụ, Cục, đơn vị trực thuộc, Công báo;</w:t>
            </w:r>
            <w:r w:rsidRPr="004C31AB">
              <w:rPr>
                <w:rFonts w:eastAsia="Times New Roman" w:cs="Times New Roman"/>
                <w:sz w:val="16"/>
                <w:szCs w:val="16"/>
                <w:lang w:eastAsia="vi-VN"/>
              </w:rPr>
              <w:br/>
              <w:t>- Lưu: Văn thư, KTTH (3b).</w:t>
            </w:r>
          </w:p>
        </w:tc>
        <w:tc>
          <w:tcPr>
            <w:tcW w:w="4428" w:type="dxa"/>
            <w:tcMar>
              <w:top w:w="0" w:type="dxa"/>
              <w:left w:w="108" w:type="dxa"/>
              <w:bottom w:w="0" w:type="dxa"/>
              <w:right w:w="108" w:type="dxa"/>
            </w:tcMar>
            <w:hideMark/>
          </w:tcPr>
          <w:p w:rsidR="004C31AB" w:rsidRPr="004C31AB" w:rsidRDefault="004C31AB" w:rsidP="004C31AB">
            <w:pPr>
              <w:spacing w:before="120" w:after="100" w:afterAutospacing="1" w:line="240" w:lineRule="auto"/>
              <w:jc w:val="center"/>
              <w:rPr>
                <w:rFonts w:eastAsia="Times New Roman" w:cs="Times New Roman"/>
                <w:szCs w:val="24"/>
                <w:lang w:eastAsia="vi-VN"/>
              </w:rPr>
            </w:pPr>
            <w:r w:rsidRPr="004C31AB">
              <w:rPr>
                <w:rFonts w:eastAsia="Times New Roman" w:cs="Times New Roman"/>
                <w:b/>
                <w:bCs/>
                <w:szCs w:val="24"/>
                <w:lang w:eastAsia="vi-VN"/>
              </w:rPr>
              <w:t>TM. CHÍNH PHỦ</w:t>
            </w:r>
            <w:r w:rsidRPr="004C31AB">
              <w:rPr>
                <w:rFonts w:eastAsia="Times New Roman" w:cs="Times New Roman"/>
                <w:b/>
                <w:bCs/>
                <w:szCs w:val="24"/>
                <w:lang w:eastAsia="vi-VN"/>
              </w:rPr>
              <w:br/>
              <w:t>THỦ TƯỚNG</w:t>
            </w:r>
            <w:r w:rsidRPr="004C31AB">
              <w:rPr>
                <w:rFonts w:eastAsia="Times New Roman" w:cs="Times New Roman"/>
                <w:b/>
                <w:bCs/>
                <w:szCs w:val="24"/>
                <w:lang w:eastAsia="vi-VN"/>
              </w:rPr>
              <w:br/>
            </w:r>
            <w:r w:rsidRPr="004C31AB">
              <w:rPr>
                <w:rFonts w:eastAsia="Times New Roman" w:cs="Times New Roman"/>
                <w:b/>
                <w:bCs/>
                <w:szCs w:val="24"/>
                <w:lang w:eastAsia="vi-VN"/>
              </w:rPr>
              <w:br/>
            </w:r>
            <w:r w:rsidRPr="004C31AB">
              <w:rPr>
                <w:rFonts w:eastAsia="Times New Roman" w:cs="Times New Roman"/>
                <w:b/>
                <w:bCs/>
                <w:szCs w:val="24"/>
                <w:lang w:eastAsia="vi-VN"/>
              </w:rPr>
              <w:br/>
            </w:r>
            <w:r w:rsidRPr="004C31AB">
              <w:rPr>
                <w:rFonts w:eastAsia="Times New Roman" w:cs="Times New Roman"/>
                <w:b/>
                <w:bCs/>
                <w:szCs w:val="24"/>
                <w:lang w:eastAsia="vi-VN"/>
              </w:rPr>
              <w:br/>
            </w:r>
            <w:r w:rsidRPr="004C31AB">
              <w:rPr>
                <w:rFonts w:eastAsia="Times New Roman" w:cs="Times New Roman"/>
                <w:b/>
                <w:bCs/>
                <w:szCs w:val="24"/>
                <w:lang w:eastAsia="vi-VN"/>
              </w:rPr>
              <w:br/>
              <w:t>Nguyễn Tấn Dũng</w:t>
            </w:r>
          </w:p>
        </w:tc>
      </w:tr>
    </w:tbl>
    <w:p w:rsidR="004C31AB" w:rsidRPr="004C31AB" w:rsidRDefault="004C31AB" w:rsidP="004C31AB">
      <w:pPr>
        <w:spacing w:before="120" w:after="100" w:afterAutospacing="1" w:line="240" w:lineRule="auto"/>
        <w:rPr>
          <w:rFonts w:eastAsia="Times New Roman" w:cs="Times New Roman"/>
          <w:szCs w:val="24"/>
          <w:lang w:eastAsia="vi-VN"/>
        </w:rPr>
      </w:pPr>
      <w:r w:rsidRPr="004C31AB">
        <w:rPr>
          <w:rFonts w:eastAsia="Times New Roman" w:cs="Times New Roman"/>
          <w:b/>
          <w:bCs/>
          <w:szCs w:val="24"/>
          <w:lang w:eastAsia="vi-VN"/>
        </w:rPr>
        <w:t> </w:t>
      </w:r>
    </w:p>
    <w:p w:rsidR="00F1132A" w:rsidRPr="004C31AB" w:rsidRDefault="00F1132A" w:rsidP="004C31AB">
      <w:bookmarkStart w:id="58" w:name="_GoBack"/>
      <w:bookmarkEnd w:id="58"/>
    </w:p>
    <w:sectPr w:rsidR="00F1132A" w:rsidRPr="004C31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92" w:rsidRDefault="00752692" w:rsidP="00BC20A2">
      <w:pPr>
        <w:spacing w:after="0" w:line="240" w:lineRule="auto"/>
      </w:pPr>
      <w:r>
        <w:separator/>
      </w:r>
    </w:p>
  </w:endnote>
  <w:endnote w:type="continuationSeparator" w:id="0">
    <w:p w:rsidR="00752692" w:rsidRDefault="00752692"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92" w:rsidRDefault="00752692" w:rsidP="00BC20A2">
      <w:pPr>
        <w:spacing w:after="0" w:line="240" w:lineRule="auto"/>
      </w:pPr>
      <w:r>
        <w:separator/>
      </w:r>
    </w:p>
  </w:footnote>
  <w:footnote w:type="continuationSeparator" w:id="0">
    <w:p w:rsidR="00752692" w:rsidRDefault="00752692"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31EDE"/>
    <w:rsid w:val="0074164A"/>
    <w:rsid w:val="00752692"/>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9410</Words>
  <Characters>53639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2017-11-18T06:48:00Z</dcterms:created>
  <dcterms:modified xsi:type="dcterms:W3CDTF">2017-11-18T06:48:00Z</dcterms:modified>
</cp:coreProperties>
</file>